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7DCF" w14:textId="77777777" w:rsidR="00DF7204" w:rsidRDefault="00D50866">
      <w:pPr>
        <w:ind w:left="450" w:right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АНАЛІЗ РЕГУЛЯТОРНОГО ВПЛИВУ</w:t>
      </w:r>
    </w:p>
    <w:p w14:paraId="049D274C" w14:textId="77777777" w:rsidR="00DF7204" w:rsidRDefault="00D50866">
      <w:pPr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до рішення </w:t>
      </w:r>
      <w:r>
        <w:rPr>
          <w:rFonts w:ascii="Times New Roman" w:hAnsi="Times New Roman" w:cs="Times New Roman"/>
          <w:b/>
          <w:color w:val="000000" w:themeColor="text1"/>
        </w:rPr>
        <w:t>виконавчого комітету Мелітопольської міської ради Запорізької області</w:t>
      </w:r>
    </w:p>
    <w:p w14:paraId="1BF951D3" w14:textId="14F451C7" w:rsidR="00DF7204" w:rsidRDefault="00D50866">
      <w:pPr>
        <w:ind w:left="450" w:right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0" w:name="__DdeLink__1821_142107851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«Про </w:t>
      </w:r>
      <w:r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 xml:space="preserve">встановлення тарифу на послугу з перевезення пасажирів на міських автобусних маршрутах загального користування м. Мелітополя та втрату </w:t>
      </w:r>
      <w:r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 xml:space="preserve">чинності рішення виконавчого комітету Мелітопольської міської ради Запорізької області від </w:t>
      </w:r>
      <w:r w:rsidR="00903225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23</w:t>
      </w:r>
      <w:r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.0</w:t>
      </w:r>
      <w:r w:rsidR="00903225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1</w:t>
      </w:r>
      <w:r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.20</w:t>
      </w:r>
      <w:r w:rsidR="00903225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20</w:t>
      </w:r>
      <w:r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 xml:space="preserve"> № </w:t>
      </w:r>
      <w:bookmarkEnd w:id="0"/>
      <w:r w:rsidR="00903225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>10/7</w:t>
      </w:r>
      <w:r>
        <w:rPr>
          <w:rFonts w:ascii="Times New Roman" w:eastAsia="Times New Roman" w:hAnsi="Times New Roman" w:cs="Times New Roman"/>
          <w:b/>
          <w:color w:val="000000" w:themeColor="text1"/>
        </w:rPr>
        <w:t>»</w:t>
      </w:r>
    </w:p>
    <w:p w14:paraId="46C4BC81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4808B31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268809C" w14:textId="77777777" w:rsidR="00DF7204" w:rsidRDefault="00D50866">
      <w:pPr>
        <w:ind w:right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І. Визначення проблеми</w:t>
      </w:r>
    </w:p>
    <w:p w14:paraId="0E1AC827" w14:textId="77777777" w:rsidR="00DF7204" w:rsidRDefault="00DF7204">
      <w:pPr>
        <w:ind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47D2DBA" w14:textId="77777777" w:rsidR="00DF7204" w:rsidRDefault="00D50866">
      <w:pPr>
        <w:pStyle w:val="ad"/>
        <w:spacing w:beforeAutospacing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Проблема, яку передбачається розв’язати шляхом державного регулювання, полягає </w:t>
      </w:r>
      <w:r>
        <w:rPr>
          <w:color w:val="000000" w:themeColor="text1"/>
          <w:sz w:val="28"/>
          <w:szCs w:val="28"/>
          <w:lang w:val="uk-UA"/>
        </w:rPr>
        <w:t>у правовому регулюванні господарських відн</w:t>
      </w:r>
      <w:r>
        <w:rPr>
          <w:color w:val="000000" w:themeColor="text1"/>
          <w:sz w:val="28"/>
          <w:szCs w:val="28"/>
          <w:lang w:val="uk-UA"/>
        </w:rPr>
        <w:t xml:space="preserve">осин з суб’єктами господарювання, які здійснюють перевезення пасажирів на міських автобусних маршрутах загального користування, та </w:t>
      </w:r>
      <w:r>
        <w:rPr>
          <w:rFonts w:eastAsia="Droid Sans Fallback"/>
          <w:bCs/>
          <w:color w:val="000000"/>
          <w:sz w:val="28"/>
          <w:szCs w:val="28"/>
          <w:lang w:val="uk-UA" w:eastAsia="zh-CN" w:bidi="hi-IN"/>
        </w:rPr>
        <w:t xml:space="preserve">встановлення </w:t>
      </w:r>
      <w:r>
        <w:rPr>
          <w:color w:val="000000" w:themeColor="text1"/>
          <w:sz w:val="28"/>
          <w:szCs w:val="28"/>
          <w:lang w:val="uk-UA"/>
        </w:rPr>
        <w:t>підприємствам-перевізникам</w:t>
      </w:r>
      <w:r>
        <w:rPr>
          <w:rFonts w:eastAsia="Droid Sans Fallback"/>
          <w:bCs/>
          <w:color w:val="000000"/>
          <w:sz w:val="28"/>
          <w:szCs w:val="28"/>
          <w:lang w:val="uk-UA" w:eastAsia="zh-CN" w:bidi="hi-IN"/>
        </w:rPr>
        <w:t xml:space="preserve"> тарифу на послугу з перевезення пасажирів на міських автобусних маршрутах загального </w:t>
      </w:r>
      <w:r>
        <w:rPr>
          <w:rFonts w:eastAsia="Droid Sans Fallback"/>
          <w:bCs/>
          <w:color w:val="000000"/>
          <w:sz w:val="28"/>
          <w:szCs w:val="28"/>
          <w:lang w:val="uk-UA" w:eastAsia="zh-CN" w:bidi="hi-IN"/>
        </w:rPr>
        <w:t>користування в м. Мелітополі.</w:t>
      </w:r>
    </w:p>
    <w:p w14:paraId="34A33D10" w14:textId="77777777" w:rsidR="00DF7204" w:rsidRDefault="00D50866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Важливість проблеми, яку передбачається розв’язати з п</w:t>
      </w:r>
      <w:r>
        <w:rPr>
          <w:rFonts w:ascii="Times New Roman" w:hAnsi="Times New Roman" w:cs="Times New Roman"/>
        </w:rPr>
        <w:t xml:space="preserve">рийняттям цього рішення, полягає </w:t>
      </w:r>
      <w:r>
        <w:rPr>
          <w:rFonts w:ascii="Times New Roman" w:eastAsia="Times New Roman" w:hAnsi="Times New Roman" w:cs="Times New Roman"/>
        </w:rPr>
        <w:t>у збалансуванні інтересів виконавчих органів місцевого самоврядування, користувачів транспортних послуг та підприємств, інших юридичних та фізичних осіб-підприємців, всіх суб’єктів господарювання на автомобільному транспорт</w:t>
      </w:r>
      <w:r>
        <w:rPr>
          <w:rFonts w:ascii="Times New Roman" w:eastAsia="Times New Roman" w:hAnsi="Times New Roman" w:cs="Times New Roman"/>
        </w:rPr>
        <w:t>і незалежно від форм власності, а також</w:t>
      </w:r>
      <w:r>
        <w:rPr>
          <w:rFonts w:ascii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встановленні економічно обґрунтованого розміру тарифів на перевезення пасажирів</w:t>
      </w:r>
      <w:r>
        <w:rPr>
          <w:rFonts w:ascii="Times New Roman" w:hAnsi="Times New Roman" w:cs="Times New Roman"/>
        </w:rPr>
        <w:t xml:space="preserve"> відповідно до чинного законодавства України.</w:t>
      </w:r>
    </w:p>
    <w:p w14:paraId="756A65CD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Проблема не може бути розв’язана </w:t>
      </w:r>
      <w:r>
        <w:rPr>
          <w:rFonts w:ascii="Times New Roman" w:hAnsi="Times New Roman" w:cs="Times New Roman"/>
          <w:color w:val="000000" w:themeColor="text1"/>
        </w:rPr>
        <w:t>за допомогою ринкових механізмів</w:t>
      </w:r>
      <w:r>
        <w:rPr>
          <w:rFonts w:ascii="Times New Roman" w:eastAsia="Times New Roman" w:hAnsi="Times New Roman" w:cs="Times New Roman"/>
        </w:rPr>
        <w:t xml:space="preserve"> у зв’язку з тим, що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дер</w:t>
      </w:r>
      <w:r>
        <w:rPr>
          <w:rFonts w:ascii="Times New Roman" w:eastAsia="Times New Roman" w:hAnsi="Times New Roman" w:cs="Times New Roman"/>
        </w:rPr>
        <w:t>жавою прийнята низка законів та інших нормативних документів, які регламентують діяльність виконавчих органів місцевого самоврядування в цьому напрямку, зокрема:</w:t>
      </w:r>
    </w:p>
    <w:p w14:paraId="0DD06542" w14:textId="77777777" w:rsidR="00DF7204" w:rsidRDefault="00D5086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регулювання цього питання покладено на виконавчі органи місцевого самоврядування, а саме до ві</w:t>
      </w:r>
      <w:r>
        <w:rPr>
          <w:rFonts w:ascii="Times New Roman" w:hAnsi="Times New Roman" w:cs="Times New Roman"/>
          <w:color w:val="000000" w:themeColor="text1"/>
        </w:rPr>
        <w:t>дання виконавчих органів Мелітопольської міської ради Запорізької області належать власні повноваження щодо встановлення тарифів на транспортні та інші послуги (п. 2 ч. 1 ст. 28 Закону України «Про місцеве самоврядування в Україні»);</w:t>
      </w:r>
    </w:p>
    <w:p w14:paraId="0EC94B27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реалізація єдиної тари</w:t>
      </w:r>
      <w:r>
        <w:rPr>
          <w:rFonts w:ascii="Times New Roman" w:eastAsia="Times New Roman" w:hAnsi="Times New Roman" w:cs="Times New Roman"/>
        </w:rPr>
        <w:t>фної політики передбачає затверджену центральним органом виконавчої влади з питань автомобільного транспорту методику розрахунку тарифів за видами перевезень (ст.10 Закону України «Про автомобільний транспорт»);</w:t>
      </w:r>
    </w:p>
    <w:p w14:paraId="5B54D728" w14:textId="77777777" w:rsidR="00DF7204" w:rsidRDefault="00D5086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наказом Міністерства транспорту та зв’язку У</w:t>
      </w:r>
      <w:r>
        <w:rPr>
          <w:rFonts w:ascii="Times New Roman" w:eastAsia="Times New Roman" w:hAnsi="Times New Roman" w:cs="Times New Roman"/>
        </w:rPr>
        <w:t>країни від 17.11.2009р. № 1175 затверджена «Методика розрахунку тарифів на послуги пасажирського автомобільного транспорту</w:t>
      </w:r>
      <w:r>
        <w:rPr>
          <w:rFonts w:ascii="Times New Roman" w:eastAsia="Times New Roman" w:hAnsi="Times New Roman" w:cs="Times New Roman"/>
          <w:spacing w:val="-4"/>
        </w:rPr>
        <w:t>», яка визначає механізм формування тарифів на послуги з перевезення пасажирів на автобусних маршрутах загального користування та є об</w:t>
      </w:r>
      <w:r>
        <w:rPr>
          <w:rFonts w:ascii="Times New Roman" w:eastAsia="Times New Roman" w:hAnsi="Times New Roman" w:cs="Times New Roman"/>
          <w:spacing w:val="-4"/>
        </w:rPr>
        <w:t>ов’язковою для застосування під час встановлення тарифів органами місцевого самоврядування на послуги пасажирського автомобільного транспорту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0CEF804" w14:textId="77777777" w:rsidR="00DF7204" w:rsidRDefault="00DF720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F0D8D29" w14:textId="77777777" w:rsidR="00DF7204" w:rsidRDefault="00D50866">
      <w:pPr>
        <w:ind w:firstLine="45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Основні групи (підгрупи), на які проблема справляє вплив</w:t>
      </w:r>
    </w:p>
    <w:tbl>
      <w:tblPr>
        <w:tblW w:w="14576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237"/>
        <w:gridCol w:w="4394"/>
        <w:gridCol w:w="3945"/>
      </w:tblGrid>
      <w:tr w:rsidR="00DF7204" w14:paraId="7849A60A" w14:textId="77777777">
        <w:trPr>
          <w:trHeight w:val="170"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ED6AA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Групи (підгрупи)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22A11A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8B4102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</w:tr>
      <w:tr w:rsidR="00DF7204" w14:paraId="2150D7B2" w14:textId="77777777">
        <w:trPr>
          <w:trHeight w:val="170"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73D64D" w14:textId="77777777" w:rsidR="00DF7204" w:rsidRDefault="00D50866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F12DCD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76E58B" w14:textId="77777777" w:rsidR="00DF7204" w:rsidRDefault="00DF7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204" w14:paraId="5EE06E45" w14:textId="77777777">
        <w:trPr>
          <w:trHeight w:val="170"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F851B" w14:textId="77777777" w:rsidR="00DF7204" w:rsidRDefault="00D50866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Держава </w:t>
            </w:r>
            <w:r>
              <w:rPr>
                <w:rFonts w:ascii="Times New Roman" w:hAnsi="Times New Roman" w:cs="Times New Roman"/>
              </w:rPr>
              <w:t>(органи місцевого самоврядування)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52348E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B6D398" w14:textId="77777777" w:rsidR="00DF7204" w:rsidRDefault="00DF7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204" w14:paraId="7B868A55" w14:textId="77777777">
        <w:trPr>
          <w:trHeight w:val="170"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F3373D" w14:textId="77777777" w:rsidR="00DF7204" w:rsidRDefault="00D50866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Суб’єкти господарювання,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9B07C3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858D33" w14:textId="77777777" w:rsidR="00DF7204" w:rsidRDefault="00DF7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204" w14:paraId="4CE23499" w14:textId="77777777">
        <w:trPr>
          <w:trHeight w:val="170"/>
        </w:trPr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75D08B" w14:textId="77777777" w:rsidR="00DF7204" w:rsidRDefault="00D50866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тому числі суб’єкти малого підприємництва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CE5F02" w14:textId="77777777" w:rsidR="00DF7204" w:rsidRDefault="00D5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1F829A" w14:textId="77777777" w:rsidR="00DF7204" w:rsidRDefault="00DF7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08A594" w14:textId="77777777" w:rsidR="00DF7204" w:rsidRDefault="00DF7204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FC4E9FE" w14:textId="77777777" w:rsidR="00DF7204" w:rsidRDefault="00D50866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II. Цілі державного регулювання</w:t>
      </w:r>
    </w:p>
    <w:p w14:paraId="70519D32" w14:textId="77777777" w:rsidR="00DF7204" w:rsidRDefault="00DF7204">
      <w:pPr>
        <w:ind w:firstLine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60884F9" w14:textId="77777777" w:rsidR="00DF7204" w:rsidRDefault="00D5086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На сьогодні необхідністю розроблення цього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є:</w:t>
      </w:r>
    </w:p>
    <w:p w14:paraId="0FE1F709" w14:textId="77777777" w:rsidR="00DF7204" w:rsidRDefault="00D50866">
      <w:pPr>
        <w:ind w:firstLine="709"/>
        <w:jc w:val="both"/>
        <w:rPr>
          <w:rFonts w:ascii="Times New Roman" w:eastAsia="Droid Sans Fallback" w:hAnsi="Times New Roman" w:cs="Times New Roman"/>
          <w:bCs/>
          <w:lang w:eastAsia="zh-CN" w:bidi="hi-IN"/>
        </w:rPr>
      </w:pPr>
      <w:r>
        <w:rPr>
          <w:rFonts w:ascii="Times New Roman" w:hAnsi="Times New Roman" w:cs="Times New Roman"/>
          <w:color w:val="000000" w:themeColor="text1"/>
        </w:rPr>
        <w:t xml:space="preserve">визначення економічно </w:t>
      </w:r>
      <w:r>
        <w:rPr>
          <w:rFonts w:ascii="Times New Roman" w:hAnsi="Times New Roman" w:cs="Times New Roman"/>
          <w:color w:val="000000" w:themeColor="text1"/>
        </w:rPr>
        <w:t>обґрунтованих тарифів</w:t>
      </w:r>
      <w:r>
        <w:rPr>
          <w:rFonts w:ascii="Times New Roman" w:eastAsia="Droid Sans Fallback" w:hAnsi="Times New Roman" w:cs="Times New Roman"/>
          <w:bCs/>
          <w:color w:val="000000"/>
          <w:lang w:eastAsia="zh-CN" w:bidi="hi-IN"/>
        </w:rPr>
        <w:t xml:space="preserve"> на послугу з перевезення пасажирів на міських автобусних маршрутах загального </w:t>
      </w:r>
      <w:r>
        <w:rPr>
          <w:rFonts w:ascii="Times New Roman" w:eastAsia="Droid Sans Fallback" w:hAnsi="Times New Roman" w:cs="Times New Roman"/>
          <w:bCs/>
          <w:lang w:eastAsia="zh-CN" w:bidi="hi-IN"/>
        </w:rPr>
        <w:t>користування м. Мелітополя;</w:t>
      </w:r>
    </w:p>
    <w:p w14:paraId="6ACEDF0C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збереження ринку соціально важливої послуги пасажирських перевезень на міських автобусних маршрутах загального </w:t>
      </w:r>
      <w:r>
        <w:rPr>
          <w:rFonts w:ascii="Times New Roman" w:eastAsia="Times New Roman" w:hAnsi="Times New Roman" w:cs="Times New Roman"/>
        </w:rPr>
        <w:t>користування;</w:t>
      </w:r>
    </w:p>
    <w:p w14:paraId="1D4FB3D7" w14:textId="77777777" w:rsidR="00DF7204" w:rsidRDefault="00D50866">
      <w:pPr>
        <w:ind w:firstLine="709"/>
        <w:jc w:val="both"/>
        <w:rPr>
          <w:rFonts w:ascii="Times New Roman" w:eastAsia="Droid Sans Fallback" w:hAnsi="Times New Roman" w:cs="Times New Roman"/>
          <w:bCs/>
          <w:lang w:eastAsia="zh-CN" w:bidi="hi-IN"/>
        </w:rPr>
      </w:pPr>
      <w:r>
        <w:rPr>
          <w:rFonts w:ascii="Times New Roman" w:eastAsia="Droid Sans Fallback" w:hAnsi="Times New Roman" w:cs="Times New Roman"/>
          <w:bCs/>
          <w:lang w:eastAsia="zh-CN" w:bidi="hi-IN"/>
        </w:rPr>
        <w:t xml:space="preserve">забезпечення </w:t>
      </w:r>
      <w:r>
        <w:rPr>
          <w:rFonts w:ascii="Times New Roman" w:hAnsi="Times New Roman" w:cs="Times New Roman"/>
          <w:color w:val="000000" w:themeColor="text1"/>
        </w:rPr>
        <w:t xml:space="preserve">автоперевізниками </w:t>
      </w:r>
      <w:r>
        <w:rPr>
          <w:rFonts w:ascii="Times New Roman" w:eastAsia="Times New Roman" w:hAnsi="Times New Roman" w:cs="Times New Roman"/>
        </w:rPr>
        <w:t xml:space="preserve">безпечного функціонування автомобільного транспорту та </w:t>
      </w:r>
      <w:r>
        <w:rPr>
          <w:rFonts w:ascii="Times New Roman" w:eastAsia="Droid Sans Fallback" w:hAnsi="Times New Roman" w:cs="Times New Roman"/>
          <w:bCs/>
          <w:lang w:eastAsia="zh-CN" w:bidi="hi-IN"/>
        </w:rPr>
        <w:t>якісного обслуговування при</w:t>
      </w:r>
      <w:r>
        <w:rPr>
          <w:rFonts w:ascii="Times New Roman" w:eastAsia="Droid Sans Fallback" w:hAnsi="Times New Roman" w:cs="Times New Roman"/>
          <w:bCs/>
          <w:color w:val="000000"/>
          <w:lang w:eastAsia="zh-CN" w:bidi="hi-IN"/>
        </w:rPr>
        <w:t xml:space="preserve"> перевезенні пасажирів </w:t>
      </w:r>
      <w:r>
        <w:rPr>
          <w:rFonts w:ascii="Times New Roman" w:hAnsi="Times New Roman" w:cs="Times New Roman"/>
          <w:color w:val="000000" w:themeColor="text1"/>
        </w:rPr>
        <w:t xml:space="preserve">громадським транспортом </w:t>
      </w:r>
      <w:r>
        <w:rPr>
          <w:rFonts w:ascii="Times New Roman" w:eastAsia="Droid Sans Fallback" w:hAnsi="Times New Roman" w:cs="Times New Roman"/>
          <w:bCs/>
          <w:color w:val="000000"/>
          <w:lang w:eastAsia="zh-CN" w:bidi="hi-IN"/>
        </w:rPr>
        <w:t xml:space="preserve">у </w:t>
      </w:r>
      <w:r>
        <w:rPr>
          <w:rFonts w:ascii="Times New Roman" w:eastAsia="Droid Sans Fallback" w:hAnsi="Times New Roman" w:cs="Times New Roman"/>
          <w:bCs/>
          <w:lang w:eastAsia="zh-CN" w:bidi="hi-IN"/>
        </w:rPr>
        <w:t>м. Мелітополі;</w:t>
      </w:r>
    </w:p>
    <w:p w14:paraId="15B308EA" w14:textId="77777777" w:rsidR="00DF7204" w:rsidRDefault="00D5086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Droid Sans Fallback" w:hAnsi="Times New Roman" w:cs="Times New Roman"/>
          <w:bCs/>
          <w:lang w:eastAsia="zh-CN" w:bidi="hi-IN"/>
        </w:rPr>
        <w:t>захист споживачів від не</w:t>
      </w:r>
      <w:r>
        <w:rPr>
          <w:rFonts w:ascii="Times New Roman" w:hAnsi="Times New Roman" w:cs="Times New Roman"/>
          <w:color w:val="000000" w:themeColor="text1"/>
        </w:rPr>
        <w:t>обґрунтованого збільшення вартості проїзд</w:t>
      </w:r>
      <w:r>
        <w:rPr>
          <w:rFonts w:ascii="Times New Roman" w:hAnsi="Times New Roman" w:cs="Times New Roman"/>
          <w:color w:val="000000" w:themeColor="text1"/>
        </w:rPr>
        <w:t>у</w:t>
      </w:r>
      <w:r>
        <w:rPr>
          <w:rFonts w:ascii="Times New Roman" w:eastAsia="Droid Sans Fallback" w:hAnsi="Times New Roman" w:cs="Times New Roman"/>
          <w:bCs/>
          <w:color w:val="000000"/>
          <w:lang w:eastAsia="zh-CN" w:bidi="hi-IN"/>
        </w:rPr>
        <w:t xml:space="preserve"> за послугу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Droid Sans Fallback" w:hAnsi="Times New Roman" w:cs="Times New Roman"/>
          <w:bCs/>
          <w:color w:val="000000"/>
          <w:lang w:eastAsia="zh-CN" w:bidi="hi-IN"/>
        </w:rPr>
        <w:t xml:space="preserve">перевезення пасажирів </w:t>
      </w:r>
      <w:r>
        <w:rPr>
          <w:rFonts w:ascii="Times New Roman" w:hAnsi="Times New Roman" w:cs="Times New Roman"/>
          <w:color w:val="000000" w:themeColor="text1"/>
        </w:rPr>
        <w:t>автоперевізниками від провадження ними своєї господарської діяльності.</w:t>
      </w:r>
    </w:p>
    <w:p w14:paraId="1069A944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створення прозорого конкурентного середовища, збільшення ефективності використання рухомого складу.</w:t>
      </w:r>
    </w:p>
    <w:p w14:paraId="408F4848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3D4BCEF" w14:textId="77777777" w:rsidR="00DF7204" w:rsidRDefault="00D50866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III. Визначення та оцінка альтернативних способів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досягнення цілей</w:t>
      </w:r>
    </w:p>
    <w:p w14:paraId="2361014E" w14:textId="77777777" w:rsidR="00DF7204" w:rsidRDefault="00DF7204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7BD710" w14:textId="77777777" w:rsidR="00DF7204" w:rsidRDefault="00D50866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1. Визначення альтернативних способів</w:t>
      </w:r>
    </w:p>
    <w:tbl>
      <w:tblPr>
        <w:tblW w:w="14600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19"/>
        <w:gridCol w:w="10581"/>
      </w:tblGrid>
      <w:tr w:rsidR="00DF7204" w14:paraId="4D338BE2" w14:textId="77777777"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F676D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альтернативи</w:t>
            </w:r>
          </w:p>
        </w:tc>
        <w:tc>
          <w:tcPr>
            <w:tcW w:w="10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3959B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Опис альтернативи</w:t>
            </w:r>
          </w:p>
        </w:tc>
      </w:tr>
      <w:tr w:rsidR="00DF7204" w14:paraId="5EB4CA6E" w14:textId="77777777"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8A451A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 Залишення існуючої на даний момент ситуації без змін</w:t>
            </w:r>
          </w:p>
        </w:tc>
        <w:tc>
          <w:tcPr>
            <w:tcW w:w="10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89D4C8" w14:textId="77777777" w:rsidR="00DF7204" w:rsidRDefault="00D5086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Якщо не прийняти дане рішення як регуляторний акт, то така ситуація буде суперечити законодавству у сфері регуляторної політики. </w:t>
            </w:r>
          </w:p>
        </w:tc>
      </w:tr>
      <w:tr w:rsidR="00DF7204" w14:paraId="22F73370" w14:textId="77777777">
        <w:trPr>
          <w:trHeight w:val="70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C6CCA1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Прийняття нового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</w:p>
        </w:tc>
        <w:tc>
          <w:tcPr>
            <w:tcW w:w="10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A52131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Прийняття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відповідатиме нормам чинного законодавства у сфері регуляторної політики,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громадським транспортом, створить правові умови внесення змін до договорів з автоперевізниками, забезпечить рівень якості обслуговуван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ня </w:t>
            </w:r>
            <w:r>
              <w:rPr>
                <w:rFonts w:ascii="Times New Roman" w:eastAsia="Droid Sans Fallback" w:hAnsi="Times New Roman" w:cs="Times New Roman"/>
                <w:bCs/>
                <w:lang w:eastAsia="zh-CN" w:bidi="hi-IN"/>
              </w:rPr>
              <w:t>при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lang w:eastAsia="zh-CN" w:bidi="hi-IN"/>
              </w:rPr>
              <w:t xml:space="preserve"> перевезенні пасажирів</w:t>
            </w:r>
          </w:p>
        </w:tc>
      </w:tr>
    </w:tbl>
    <w:p w14:paraId="007D12FA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94DB8A4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 Оцінка вибраних альтернативних способів досягнення цілей</w:t>
      </w:r>
    </w:p>
    <w:p w14:paraId="15B151C9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E9B41AB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Оцінка впливу на сферу інтересів держави (органів місцевого самоврядування):</w:t>
      </w:r>
    </w:p>
    <w:tbl>
      <w:tblPr>
        <w:tblW w:w="14600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69"/>
        <w:gridCol w:w="5386"/>
        <w:gridCol w:w="5245"/>
      </w:tblGrid>
      <w:tr w:rsidR="00DF7204" w14:paraId="1B37A416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33190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альтернативи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55296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Вигоди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22C6F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</w:t>
            </w:r>
          </w:p>
        </w:tc>
      </w:tr>
      <w:tr w:rsidR="00DF7204" w14:paraId="11EDE370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E95DE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E83021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8B2A98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передбачені</w:t>
            </w:r>
          </w:p>
        </w:tc>
      </w:tr>
      <w:tr w:rsidR="00DF7204" w14:paraId="6C6FAB87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3AE779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CEF81A" w14:textId="77777777" w:rsidR="00DF7204" w:rsidRDefault="00D508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Організація міських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відповідно до чинного законодавства України,</w:t>
            </w:r>
            <w:r>
              <w:rPr>
                <w:rFonts w:ascii="Times New Roman" w:hAnsi="Times New Roman" w:cs="Times New Roman"/>
              </w:rPr>
              <w:t xml:space="preserve"> зменшення кількості скарг та нарікань на обслуговування мешканців міста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10F40E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які пов’язані з розробкою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 забезпе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чення виконання його вимог (витрати робочого часу спеціалістів, що пов’язані з підготовкою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та витрати на оплату повідомлення про прийняте рішення за розміщення в друкованих засобах масової інформації)</w:t>
            </w:r>
          </w:p>
        </w:tc>
      </w:tr>
    </w:tbl>
    <w:p w14:paraId="1314505C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D5B85B5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Оцінка впливу на сферу </w:t>
      </w:r>
      <w:r>
        <w:rPr>
          <w:rFonts w:ascii="Times New Roman" w:eastAsia="Times New Roman" w:hAnsi="Times New Roman" w:cs="Times New Roman"/>
          <w:color w:val="000000" w:themeColor="text1"/>
        </w:rPr>
        <w:t>інтересів громадян:</w:t>
      </w:r>
    </w:p>
    <w:tbl>
      <w:tblPr>
        <w:tblW w:w="14600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69"/>
        <w:gridCol w:w="5386"/>
        <w:gridCol w:w="5245"/>
      </w:tblGrid>
      <w:tr w:rsidR="00DF7204" w14:paraId="01321D0D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531A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альтернативи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EE45F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Вигоди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E98A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</w:t>
            </w:r>
          </w:p>
        </w:tc>
      </w:tr>
      <w:tr w:rsidR="00DF7204" w14:paraId="485DD06F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9136EA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F49BE2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0CE945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</w:tr>
      <w:tr w:rsidR="00DF7204" w14:paraId="0322DF2C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122065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719604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94CA54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</w:tr>
    </w:tbl>
    <w:p w14:paraId="6BD8489D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366A0A1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Оцінка впливу на сферу інтересів суб’єктів господарювання:</w:t>
      </w:r>
    </w:p>
    <w:tbl>
      <w:tblPr>
        <w:tblW w:w="14574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380"/>
        <w:gridCol w:w="1700"/>
        <w:gridCol w:w="1561"/>
        <w:gridCol w:w="1560"/>
        <w:gridCol w:w="1700"/>
        <w:gridCol w:w="1673"/>
      </w:tblGrid>
      <w:tr w:rsidR="00DF7204" w14:paraId="66C55A7F" w14:textId="77777777">
        <w:trPr>
          <w:trHeight w:val="17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2D192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Показник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29DC4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Великі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F39EB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Середні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1D1BB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Малі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BDF74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Мікро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C5366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</w:t>
            </w:r>
          </w:p>
        </w:tc>
      </w:tr>
      <w:tr w:rsidR="00D95A4F" w:rsidRPr="00D95A4F" w14:paraId="32A1678E" w14:textId="77777777">
        <w:trPr>
          <w:trHeight w:val="17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2D99BF" w14:textId="77777777" w:rsidR="00DF7204" w:rsidRPr="00D95A4F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700589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9127BF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AE8F18" w14:textId="0EC4212B" w:rsidR="00DF7204" w:rsidRPr="00D95A4F" w:rsidRDefault="009032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B47B37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E7AB3F" w14:textId="25063BD3" w:rsidR="00DF7204" w:rsidRPr="00D95A4F" w:rsidRDefault="009032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D95A4F" w:rsidRPr="00D95A4F" w14:paraId="178AEFAF" w14:textId="77777777">
        <w:trPr>
          <w:trHeight w:val="17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0E90FE" w14:textId="77777777" w:rsidR="00DF7204" w:rsidRPr="00D95A4F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Питома вага групи у загальній кількості, відсотків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DD5B61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0782DD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341DF9" w14:textId="1C24209C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D95A4F"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,0%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6E8A17" w14:textId="77B8353D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95A4F"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,0%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B44369" w14:textId="77777777" w:rsidR="00DF7204" w:rsidRPr="00D95A4F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A4F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</w:tr>
    </w:tbl>
    <w:p w14:paraId="4819CC90" w14:textId="77777777" w:rsidR="00DF7204" w:rsidRPr="00903225" w:rsidRDefault="00DF7204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20C98ECD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611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683"/>
        <w:gridCol w:w="5741"/>
        <w:gridCol w:w="5187"/>
      </w:tblGrid>
      <w:tr w:rsidR="00DF7204" w14:paraId="16CAD24A" w14:textId="77777777"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7803D2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альтернативи</w:t>
            </w:r>
          </w:p>
        </w:tc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775B7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Вигоди</w:t>
            </w:r>
          </w:p>
        </w:tc>
        <w:tc>
          <w:tcPr>
            <w:tcW w:w="5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ABD302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</w:t>
            </w:r>
          </w:p>
        </w:tc>
      </w:tr>
      <w:tr w:rsidR="00DF7204" w14:paraId="0F6ED979" w14:textId="77777777"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F21D59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1</w:t>
            </w:r>
          </w:p>
        </w:tc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CCF93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Відсутні</w:t>
            </w:r>
          </w:p>
        </w:tc>
        <w:tc>
          <w:tcPr>
            <w:tcW w:w="5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941824" w14:textId="77777777" w:rsidR="00DF7204" w:rsidRDefault="00D50866">
            <w:pPr>
              <w:ind w:right="-7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en-US"/>
              </w:rPr>
              <w:t xml:space="preserve">В межах впровадження </w:t>
            </w:r>
            <w:r>
              <w:rPr>
                <w:rFonts w:ascii="Times New Roman" w:eastAsia="Times New Roman" w:hAnsi="Times New Roman" w:cs="Times New Roman"/>
                <w:highlight w:val="white"/>
                <w:lang w:eastAsia="en-US"/>
              </w:rPr>
              <w:t>господарської діяльності щодо перевезення пасажирів</w:t>
            </w:r>
          </w:p>
        </w:tc>
      </w:tr>
      <w:tr w:rsidR="00DF7204" w14:paraId="0D39D18B" w14:textId="77777777"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99B9DF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Альтернатива 2</w:t>
            </w:r>
          </w:p>
        </w:tc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7C5B5A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відповідно до чинного законодавства та за економічно обґрунтованим тарифом</w:t>
            </w:r>
          </w:p>
        </w:tc>
        <w:tc>
          <w:tcPr>
            <w:tcW w:w="5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98681" w14:textId="77777777" w:rsidR="00DF7204" w:rsidRDefault="00D50866">
            <w:pP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Витрати наведені у М-Тесті</w:t>
            </w:r>
          </w:p>
        </w:tc>
      </w:tr>
    </w:tbl>
    <w:p w14:paraId="7E286A54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84187E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Під час проведення оцінки впливу на сферу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інтересів суб’єктів господарювання відсутні суб’єкти великого і середнього підприємництва, у зв’язку з чим окремо кількісно неможливо визначити витрати, які будуть виникати внаслідок дії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(згідно з додатком 2 до Методики проведення аналіз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у впливу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39AC7CE7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600" w:type="dxa"/>
        <w:tblInd w:w="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26"/>
        <w:gridCol w:w="3974"/>
      </w:tblGrid>
      <w:tr w:rsidR="00DF7204" w14:paraId="5E8268B3" w14:textId="77777777">
        <w:tc>
          <w:tcPr>
            <w:tcW w:w="10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408FB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Сумарні витрати за альтернативами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D7667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Сума витрат, гривень</w:t>
            </w:r>
          </w:p>
        </w:tc>
      </w:tr>
      <w:tr w:rsidR="00DF7204" w14:paraId="16EF9F0F" w14:textId="77777777">
        <w:tc>
          <w:tcPr>
            <w:tcW w:w="10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F77ED5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Альтернатива 1. Сумарні витрати для суб’єктів господарювання великого і середнього підприємництва згідно з додатком 2 до Методики проведення аналізу впливу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”)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C9891E" w14:textId="77777777" w:rsidR="00DF7204" w:rsidRDefault="00DF72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9E38A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7F003254" w14:textId="77777777">
        <w:tc>
          <w:tcPr>
            <w:tcW w:w="10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B5ADD6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2. Сумарні витрати для суб’єктів господарювання великого і середнього пі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дприємництва згідно з додатком 2 до Методики проведення аналізу впливу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”)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DAA4BD" w14:textId="77777777" w:rsidR="00DF7204" w:rsidRDefault="00DF72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BEEB0C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4597CCA2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B92301A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IV. Вибір най</w:t>
      </w:r>
      <w:r>
        <w:rPr>
          <w:rFonts w:ascii="Times New Roman" w:eastAsia="Times New Roman" w:hAnsi="Times New Roman" w:cs="Times New Roman"/>
          <w:b/>
          <w:color w:val="000000" w:themeColor="text1"/>
        </w:rPr>
        <w:t>більш оптимального альтернативного способу досягнення цілей</w:t>
      </w:r>
    </w:p>
    <w:p w14:paraId="624C39B3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4E635E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5746D0BC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Вартість балів визначається за чотирибальною системою оцінки </w:t>
      </w:r>
      <w:r>
        <w:rPr>
          <w:rFonts w:ascii="Times New Roman" w:eastAsia="Times New Roman" w:hAnsi="Times New Roman" w:cs="Times New Roman"/>
          <w:color w:val="000000" w:themeColor="text1"/>
        </w:rPr>
        <w:t>ступеня досягнення визначених цілей, де:</w:t>
      </w:r>
    </w:p>
    <w:p w14:paraId="52C28FFE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4 -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які можуть бути досягнуті повною мірою (проблема більше існувати не буде);</w:t>
      </w:r>
    </w:p>
    <w:p w14:paraId="0D1AD8FF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3 -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які можуть бути досягнуті майже повною мірою (усі важливі аспе</w:t>
      </w:r>
      <w:r>
        <w:rPr>
          <w:rFonts w:ascii="Times New Roman" w:eastAsia="Times New Roman" w:hAnsi="Times New Roman" w:cs="Times New Roman"/>
          <w:color w:val="000000" w:themeColor="text1"/>
        </w:rPr>
        <w:t>кти проблеми існувати не будуть);</w:t>
      </w:r>
    </w:p>
    <w:p w14:paraId="5A035A52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2 -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DACD1A8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1 -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які не можу</w:t>
      </w:r>
      <w:r>
        <w:rPr>
          <w:rFonts w:ascii="Times New Roman" w:eastAsia="Times New Roman" w:hAnsi="Times New Roman" w:cs="Times New Roman"/>
          <w:color w:val="000000" w:themeColor="text1"/>
        </w:rPr>
        <w:t>ть бути досягнуті (проблема продовжує існувати).</w:t>
      </w:r>
    </w:p>
    <w:p w14:paraId="79F3FA03" w14:textId="77777777" w:rsidR="00DF7204" w:rsidRDefault="00DF7204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600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19"/>
        <w:gridCol w:w="4536"/>
        <w:gridCol w:w="5245"/>
      </w:tblGrid>
      <w:tr w:rsidR="00DF7204" w14:paraId="4A821D04" w14:textId="77777777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CB391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5994F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Бал результативності (за чотирибальною системою оцінки)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B5E79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Коментарі щодо присвоєння відповідного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бала</w:t>
            </w:r>
            <w:proofErr w:type="spellEnd"/>
          </w:p>
        </w:tc>
      </w:tr>
      <w:tr w:rsidR="00DF7204" w14:paraId="0D86C6F7" w14:textId="77777777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9FECC7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4B95B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BA6378" w14:textId="77777777" w:rsidR="00DF7204" w:rsidRDefault="00D508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 разі </w:t>
            </w:r>
            <w:r>
              <w:rPr>
                <w:rFonts w:ascii="Times New Roman" w:hAnsi="Times New Roman" w:cs="Times New Roman"/>
              </w:rPr>
              <w:t>залишення існуючої на даний момент ситуації без змін 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роблема буде існувати,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деякі важливі аспекти проблеми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залишаться </w:t>
            </w:r>
            <w:r>
              <w:rPr>
                <w:rFonts w:ascii="Times New Roman" w:hAnsi="Times New Roman" w:cs="Times New Roman"/>
                <w:color w:val="000000" w:themeColor="text1"/>
              </w:rPr>
              <w:t>невирішеними</w:t>
            </w:r>
          </w:p>
        </w:tc>
      </w:tr>
      <w:tr w:rsidR="00DF7204" w14:paraId="31247462" w14:textId="77777777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BB971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55D10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4012F8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Важливі аспекти проблеми будуть вирішені, більшість цілей буде досягнуто</w:t>
            </w:r>
          </w:p>
        </w:tc>
      </w:tr>
    </w:tbl>
    <w:p w14:paraId="5E91A798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4D763D0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600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693"/>
        <w:gridCol w:w="4110"/>
        <w:gridCol w:w="3686"/>
        <w:gridCol w:w="4111"/>
      </w:tblGrid>
      <w:tr w:rsidR="00DF7204" w14:paraId="6C5B3C3B" w14:textId="77777777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1CE42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результативності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6876F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Вигоди (підсумок)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A9C02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(підсумок)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E1FE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Обґрунтування відповідного місця альтернативи у рейтингу</w:t>
            </w:r>
          </w:p>
        </w:tc>
      </w:tr>
      <w:tr w:rsidR="00DF7204" w14:paraId="3CAC09A4" w14:textId="77777777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2296AD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FB2C6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Відсутні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E38F8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передбачені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057D7E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Останнє місце у зв’язку з тим, що проблема буде існувати,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більшість важливих аспектів вирішеними не будуть</w:t>
            </w:r>
          </w:p>
        </w:tc>
      </w:tr>
      <w:tr w:rsidR="00DF7204" w14:paraId="63851008" w14:textId="77777777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FA9B44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Альтернатива 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234C81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 економічно обґрунтованим тарифом відповідно до чинного законодавства, належний контроль за виконанням послуг, створення безпечних та сприятливих умов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перевезеннях для пасажирів та водіїв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3AD1AB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розробку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на  здійснення господарської діяльності щодо перевезення пасажирів, залучення матеріальних витрат на забезпечення робочого технічного стану транспортних засобів та безпеки дорожнь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ого руху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8A8109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Перше місце у зв’язку з тим, що важливі аспекти проблеми будуть вирішені значною мірою</w:t>
            </w:r>
          </w:p>
        </w:tc>
      </w:tr>
    </w:tbl>
    <w:p w14:paraId="02C4F3FA" w14:textId="77777777" w:rsidR="00DF7204" w:rsidRDefault="00DF7204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647" w:type="dxa"/>
        <w:tblInd w:w="2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69"/>
        <w:gridCol w:w="5599"/>
        <w:gridCol w:w="5079"/>
      </w:tblGrid>
      <w:tr w:rsidR="00DF7204" w14:paraId="0174A452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D074F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Рейтинг</w:t>
            </w:r>
          </w:p>
        </w:tc>
        <w:tc>
          <w:tcPr>
            <w:tcW w:w="5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241BF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50F932" w14:textId="77777777" w:rsidR="00DF7204" w:rsidRDefault="00D50866">
            <w:pPr>
              <w:ind w:left="-29" w:right="-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Оцінка ризику зовнішніх чинників на дію запропонованого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</w:p>
        </w:tc>
      </w:tr>
      <w:tr w:rsidR="00DF7204" w14:paraId="7A5CEE3B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D09742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Альтернатива 1</w:t>
            </w:r>
          </w:p>
        </w:tc>
        <w:tc>
          <w:tcPr>
            <w:tcW w:w="5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47A508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Відмова від альтернативи у зв’язку з тим, що залишиться існування проблеми,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ускладнюється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забезпечення потреб населення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 користуванні пасажирським транспортом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92F20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Зовнішні чинники на дію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відсутні</w:t>
            </w:r>
          </w:p>
        </w:tc>
      </w:tr>
      <w:tr w:rsidR="00DF7204" w14:paraId="1890C751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2C43E5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Альтерна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тива 2</w:t>
            </w:r>
          </w:p>
        </w:tc>
        <w:tc>
          <w:tcPr>
            <w:tcW w:w="5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3588C5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Дотримання норм чинного законодавства у сфері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прозора процедура затвердження тарифу, що призведе до підвищення р</w:t>
            </w:r>
            <w:r>
              <w:rPr>
                <w:rFonts w:ascii="Times New Roman" w:hAnsi="Times New Roman" w:cs="Times New Roman"/>
                <w:color w:val="000000" w:themeColor="text1"/>
              </w:rPr>
              <w:t>івня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обслуговування пасажирів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CCF2F0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дію даного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можливий вплив зовнішніх чинників – погіршення економічного стану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країні та зміни до чинного законодавства у сфері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пасажироперевезень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053B3816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BE3464F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V. Механізми та заходи, які забезпечать розв’язання визначеної проблеми</w:t>
      </w:r>
    </w:p>
    <w:p w14:paraId="690D25E1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8731922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Регуляторний акт </w:t>
      </w:r>
      <w:r>
        <w:rPr>
          <w:rFonts w:ascii="Times New Roman" w:hAnsi="Times New Roman"/>
        </w:rPr>
        <w:t>побудований відповідно до принципів регуляторної політики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та містить норми, які сприятимуть врегулюванню відносин у сфері </w:t>
      </w:r>
      <w:r>
        <w:rPr>
          <w:rStyle w:val="t28"/>
          <w:rFonts w:ascii="Times New Roman" w:hAnsi="Times New Roman" w:cs="Times New Roman"/>
          <w:color w:val="000000" w:themeColor="text1"/>
          <w:spacing w:val="-4"/>
          <w:lang w:eastAsia="zh-CN" w:bidi="hi-IN"/>
        </w:rPr>
        <w:t>перевезення пасажирів на міських автобусних маршрутах загального користування в місті Мелітополі, за допомогою чого можливо розв’язати проблему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Для впровадження цього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виконавчим органам Мелітопольської міської ради Запорізької області необхідно здійснити такі організаційні заходи:</w:t>
      </w:r>
    </w:p>
    <w:p w14:paraId="3297F283" w14:textId="77777777" w:rsidR="00DF7204" w:rsidRDefault="00D50866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забезпечити опублікування </w:t>
      </w:r>
      <w:r>
        <w:rPr>
          <w:rFonts w:ascii="Times New Roman" w:hAnsi="Times New Roman"/>
        </w:rPr>
        <w:t xml:space="preserve">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в засобах масової інформації, у мережі Інтернет, на офіційному веб-сайті Мелітопольської міськ</w:t>
      </w:r>
      <w:r>
        <w:rPr>
          <w:rFonts w:ascii="Times New Roman" w:eastAsia="Times New Roman" w:hAnsi="Times New Roman" w:cs="Times New Roman"/>
          <w:color w:val="000000" w:themeColor="text1"/>
        </w:rPr>
        <w:t>ої ради Запорізької області з метою отримання зауважень та пропозицій щодо його прийняття;</w:t>
      </w:r>
    </w:p>
    <w:p w14:paraId="0A3F582C" w14:textId="77777777" w:rsidR="00DF7204" w:rsidRDefault="00D50866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проведення консультацій, робочих зустрічей із суб’єктами господарювання з метою обговорення нового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проекта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яким у</w:t>
      </w:r>
      <w:r>
        <w:rPr>
          <w:rFonts w:ascii="Times New Roman" w:hAnsi="Times New Roman" w:cs="Times New Roman"/>
          <w:color w:val="000000" w:themeColor="text1"/>
        </w:rPr>
        <w:t>порядковується мережа автобусн</w:t>
      </w:r>
      <w:r>
        <w:rPr>
          <w:rFonts w:ascii="Times New Roman" w:hAnsi="Times New Roman" w:cs="Times New Roman"/>
          <w:color w:val="000000" w:themeColor="text1"/>
        </w:rPr>
        <w:t>их маршрутів загального користування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B263586" w14:textId="77777777" w:rsidR="00DF7204" w:rsidRDefault="00D50866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ab/>
        <w:t>врахування винесених з боку суб’єктів господарювання пропозицій та зауважень.</w:t>
      </w:r>
    </w:p>
    <w:p w14:paraId="43E02F98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A8EB2DD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VI. Оцінка виконання вимог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залежно від ресурсів, якими розпоряджаються органи виконавчої влади чи органи </w:t>
      </w:r>
      <w:r>
        <w:rPr>
          <w:rFonts w:ascii="Times New Roman" w:eastAsia="Times New Roman" w:hAnsi="Times New Roman" w:cs="Times New Roman"/>
          <w:b/>
          <w:color w:val="000000" w:themeColor="text1"/>
        </w:rPr>
        <w:t>місцевого самоврядування, фізичні та юридичні особи,</w:t>
      </w:r>
    </w:p>
    <w:p w14:paraId="1F707731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які повинні впроваджувати або виконувати ці вимоги</w:t>
      </w:r>
    </w:p>
    <w:p w14:paraId="38996167" w14:textId="77777777" w:rsidR="00DF7204" w:rsidRDefault="00DF7204">
      <w:pPr>
        <w:ind w:right="-32" w:firstLine="709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F3A74A5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Для реалізації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органам виконавчої влади потрібні витрати з місцевого бюджету витрати на оплату повідомлень про прийняте рішення за р</w:t>
      </w:r>
      <w:r>
        <w:rPr>
          <w:rFonts w:ascii="Times New Roman" w:eastAsia="Times New Roman" w:hAnsi="Times New Roman" w:cs="Times New Roman"/>
          <w:color w:val="000000" w:themeColor="text1"/>
        </w:rPr>
        <w:t>озміщення в друкованих засобах масової інформації.</w:t>
      </w:r>
    </w:p>
    <w:p w14:paraId="3099E20B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Розрахунок витрат на </w:t>
      </w:r>
      <w:r>
        <w:rPr>
          <w:rFonts w:ascii="Times New Roman" w:eastAsia="Times New Roman" w:hAnsi="Times New Roman" w:cs="Times New Roman"/>
        </w:rPr>
        <w:t xml:space="preserve">запровадження державного регулювання для суб’єктів малого підприємництва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розроблено відповідно до </w:t>
      </w:r>
      <w:r>
        <w:rPr>
          <w:rFonts w:ascii="Times New Roman" w:eastAsia="Times New Roman" w:hAnsi="Times New Roman" w:cs="Times New Roman"/>
        </w:rPr>
        <w:t>Тесту малого підприємництва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(М-Тесту).</w:t>
      </w:r>
    </w:p>
    <w:p w14:paraId="1A817C77" w14:textId="77777777" w:rsidR="00DF7204" w:rsidRDefault="00DF7204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490AB1B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VII. Обґрунтування запропонованого строку дії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акта</w:t>
      </w:r>
      <w:proofErr w:type="spellEnd"/>
    </w:p>
    <w:p w14:paraId="6D012EC1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16B9D5E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Заплановано строк дії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/>
        </w:rPr>
        <w:t>не обмежувати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що достатньо для розв’язання проблеми та досягнення цілей державного регулювання. У разі потреби вноситимуться зміни до нього за підсумками аналізу відстеження результативності та </w:t>
      </w:r>
      <w:r>
        <w:rPr>
          <w:rFonts w:ascii="Times New Roman" w:eastAsia="Times New Roman" w:hAnsi="Times New Roman" w:cs="Times New Roman"/>
          <w:color w:val="000000" w:themeColor="text1"/>
        </w:rPr>
        <w:t>з прийняттям змін до діючого законодавства України.</w:t>
      </w:r>
    </w:p>
    <w:p w14:paraId="788117B4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B775E90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VIII. Визначення показників результативності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акта</w:t>
      </w:r>
      <w:proofErr w:type="spellEnd"/>
    </w:p>
    <w:p w14:paraId="7D736BB0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FF733AD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З метою відстеження результативності запровадження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(територія дії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– місто Мелітополь) п</w:t>
      </w:r>
      <w:r>
        <w:rPr>
          <w:rFonts w:ascii="Times New Roman" w:hAnsi="Times New Roman" w:cs="Times New Roman"/>
        </w:rPr>
        <w:t>ропонуєть</w:t>
      </w:r>
      <w:r>
        <w:rPr>
          <w:rFonts w:ascii="Times New Roman" w:hAnsi="Times New Roman" w:cs="Times New Roman"/>
        </w:rPr>
        <w:t xml:space="preserve">ся використати </w:t>
      </w:r>
      <w:r>
        <w:rPr>
          <w:rFonts w:ascii="Times New Roman" w:eastAsia="Times New Roman" w:hAnsi="Times New Roman" w:cs="Times New Roman"/>
          <w:color w:val="000000" w:themeColor="text1"/>
        </w:rPr>
        <w:t>наступні прогнозні показники та відстеження динаміки:</w:t>
      </w:r>
    </w:p>
    <w:p w14:paraId="59864DAF" w14:textId="77777777" w:rsidR="00DF7204" w:rsidRDefault="00D50866">
      <w:pPr>
        <w:pStyle w:val="ac"/>
        <w:numPr>
          <w:ilvl w:val="0"/>
          <w:numId w:val="2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Кількість суб’єктів господарювання та фізичних осіб – підприємців, на яких поширюється дія </w:t>
      </w:r>
      <w:r>
        <w:rPr>
          <w:rFonts w:ascii="Times New Roman" w:hAnsi="Times New Roman" w:cs="Times New Roman"/>
        </w:rPr>
        <w:t xml:space="preserve">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– перевізники, що надають послугу перевезення пасажирів </w:t>
      </w:r>
      <w:r>
        <w:rPr>
          <w:rFonts w:ascii="Times New Roman" w:hAnsi="Times New Roman" w:cs="Times New Roman"/>
          <w:color w:val="000000"/>
        </w:rPr>
        <w:t>на міських автобусни</w:t>
      </w:r>
      <w:r>
        <w:rPr>
          <w:rFonts w:ascii="Times New Roman" w:hAnsi="Times New Roman" w:cs="Times New Roman"/>
          <w:color w:val="000000"/>
        </w:rPr>
        <w:t>х маршрутах загального користування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05F2A9D" w14:textId="77777777" w:rsidR="00DF7204" w:rsidRDefault="00D50866">
      <w:pPr>
        <w:pStyle w:val="ac"/>
        <w:numPr>
          <w:ilvl w:val="0"/>
          <w:numId w:val="2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Кількості </w:t>
      </w:r>
      <w:r>
        <w:rPr>
          <w:rFonts w:ascii="Times New Roman" w:hAnsi="Times New Roman" w:cs="Times New Roman"/>
          <w:color w:val="000000"/>
        </w:rPr>
        <w:t>транспортних засобів, що працюють на автобусних маршрутах загального користування, їх пасажиромісткість.</w:t>
      </w:r>
    </w:p>
    <w:p w14:paraId="2DF27C10" w14:textId="77777777" w:rsidR="00DF7204" w:rsidRDefault="00D50866">
      <w:pPr>
        <w:pStyle w:val="ac"/>
        <w:numPr>
          <w:ilvl w:val="0"/>
          <w:numId w:val="2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Кількості споживачів, які користуються послугами міського пасажирського транспорту.</w:t>
      </w:r>
    </w:p>
    <w:p w14:paraId="4A8E400A" w14:textId="77777777" w:rsidR="00DF7204" w:rsidRDefault="00D50866">
      <w:pPr>
        <w:pStyle w:val="ac"/>
        <w:numPr>
          <w:ilvl w:val="0"/>
          <w:numId w:val="2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Кількості скарг та н</w:t>
      </w:r>
      <w:r>
        <w:rPr>
          <w:rFonts w:ascii="Times New Roman" w:eastAsia="Times New Roman" w:hAnsi="Times New Roman" w:cs="Times New Roman"/>
          <w:color w:val="000000" w:themeColor="text1"/>
        </w:rPr>
        <w:t>арікань від споживачів на роботу перевізників.</w:t>
      </w:r>
    </w:p>
    <w:p w14:paraId="4E3B8B63" w14:textId="77777777" w:rsidR="00DF7204" w:rsidRDefault="00D50866">
      <w:pPr>
        <w:pStyle w:val="ac"/>
        <w:numPr>
          <w:ilvl w:val="0"/>
          <w:numId w:val="2"/>
        </w:numPr>
        <w:tabs>
          <w:tab w:val="left" w:pos="993"/>
        </w:tabs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Рівень поінформованості суб’єктів господарювання та фізичних осіб з основних положень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визначається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за рахунок: розміщення повідомлення про оприлюднення та самого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проекта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рішення виконавчого комітету Мелітопольської міської ради Запорізької області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«Про </w:t>
      </w:r>
      <w:r>
        <w:rPr>
          <w:rFonts w:ascii="Times New Roman" w:eastAsia="Droid Sans Fallback" w:hAnsi="Times New Roman" w:cs="Times New Roman"/>
          <w:color w:val="000000"/>
          <w:lang w:eastAsia="zh-CN" w:bidi="hi-IN"/>
        </w:rPr>
        <w:t>встановлення тарифу на послугу з перевезення пасажирів на міських автобусних маршрутах загального кори</w:t>
      </w:r>
      <w:r>
        <w:rPr>
          <w:rFonts w:ascii="Times New Roman" w:eastAsia="Droid Sans Fallback" w:hAnsi="Times New Roman" w:cs="Times New Roman"/>
          <w:color w:val="000000"/>
          <w:lang w:eastAsia="zh-CN" w:bidi="hi-IN"/>
        </w:rPr>
        <w:t>стування м. Мелітополя та втрату чинності рішення виконавчого комітету Мелітопольської міської ради Запорізької області від 08.08.2019 № 165</w:t>
      </w:r>
      <w:r>
        <w:rPr>
          <w:rFonts w:ascii="Times New Roman" w:eastAsia="Times New Roman" w:hAnsi="Times New Roman" w:cs="Times New Roman"/>
          <w:color w:val="000000" w:themeColor="text1"/>
        </w:rPr>
        <w:t>»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з  аналізом регуляторного впливу </w:t>
      </w:r>
      <w:r>
        <w:rPr>
          <w:rFonts w:ascii="Times New Roman" w:hAnsi="Times New Roman"/>
        </w:rPr>
        <w:t xml:space="preserve">в мережі Інтернет </w:t>
      </w:r>
      <w:r>
        <w:rPr>
          <w:rFonts w:ascii="Times New Roman" w:eastAsia="Times New Roman" w:hAnsi="Times New Roman" w:cs="Times New Roman"/>
          <w:color w:val="000000" w:themeColor="text1"/>
        </w:rPr>
        <w:t>на офіційному веб-сайті Мелітопольської міської ради Запорізько</w:t>
      </w:r>
      <w:r>
        <w:rPr>
          <w:rFonts w:ascii="Times New Roman" w:eastAsia="Times New Roman" w:hAnsi="Times New Roman" w:cs="Times New Roman"/>
          <w:color w:val="000000" w:themeColor="text1"/>
        </w:rPr>
        <w:t>ї області (http://mlt.gov.ua) в розділі «Регуляторна політика». Окрім цього, після прийняття цього рішення його буде офіційно опубліковано згідно з вимогами Закону України «Про засади державної регуляторної політики у сфері господарської діяльності» в друк</w:t>
      </w:r>
      <w:r>
        <w:rPr>
          <w:rFonts w:ascii="Times New Roman" w:eastAsia="Times New Roman" w:hAnsi="Times New Roman" w:cs="Times New Roman"/>
          <w:color w:val="000000" w:themeColor="text1"/>
        </w:rPr>
        <w:t>ованих засобах масової інформації. Тираж газети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Главная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», в якій оприлюднюється прийняте рішення, складає 10000 примірників, кількість відвідувачів сайту за добу складає 100 – 200 осіб, можна передбачити, що з урахуванням вищенаведеного з рішенням буде оз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найомлено не менш як 6000 – 8000 осіб. Також отримати регуляторний акт можливо за запитом до </w:t>
      </w:r>
      <w:r>
        <w:rPr>
          <w:rFonts w:ascii="Times New Roman" w:hAnsi="Times New Roman"/>
        </w:rPr>
        <w:t xml:space="preserve">органів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місцевого самоврядування або отримати цей акт або інформацію щодо основних його положень іншими шляхами. </w:t>
      </w:r>
      <w:r>
        <w:rPr>
          <w:rFonts w:ascii="Times New Roman" w:hAnsi="Times New Roman"/>
        </w:rPr>
        <w:t>З урахуванням вищенаведеного з рішенням буде ознай</w:t>
      </w:r>
      <w:r>
        <w:rPr>
          <w:rFonts w:ascii="Times New Roman" w:hAnsi="Times New Roman"/>
        </w:rPr>
        <w:t xml:space="preserve">омлено не менш як </w:t>
      </w:r>
      <w:r>
        <w:rPr>
          <w:rFonts w:ascii="Times New Roman" w:hAnsi="Times New Roman" w:cs="Times New Roman"/>
        </w:rPr>
        <w:t>декілька тисяч</w:t>
      </w:r>
      <w:r>
        <w:rPr>
          <w:rFonts w:ascii="Times New Roman" w:hAnsi="Times New Roman"/>
        </w:rPr>
        <w:t xml:space="preserve"> осіб, що свідчить про середній рівень поінформованості.</w:t>
      </w:r>
    </w:p>
    <w:p w14:paraId="5D5F20F1" w14:textId="77777777" w:rsidR="00DF7204" w:rsidRDefault="00DF7204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57F9E6F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BEDDCD8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IX. Визначення заходів, за допомогою яких здійснюватиметься</w:t>
      </w:r>
    </w:p>
    <w:p w14:paraId="5F3E201C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відстеження результативності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акта</w:t>
      </w:r>
      <w:proofErr w:type="spellEnd"/>
    </w:p>
    <w:p w14:paraId="6D62C39C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0F73807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Визначити:</w:t>
      </w:r>
    </w:p>
    <w:p w14:paraId="272D1DDD" w14:textId="77777777" w:rsidR="00DF7204" w:rsidRDefault="00D50866">
      <w:pPr>
        <w:pStyle w:val="ac"/>
        <w:numPr>
          <w:ilvl w:val="0"/>
          <w:numId w:val="1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стосовно регулятивного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буде </w:t>
      </w:r>
      <w:r>
        <w:rPr>
          <w:rFonts w:ascii="Times New Roman" w:eastAsia="Times New Roman" w:hAnsi="Times New Roman" w:cs="Times New Roman"/>
          <w:color w:val="000000" w:themeColor="text1"/>
        </w:rPr>
        <w:t>здійснено базове, повторне та періодичне відстеження його результативності у терміни, встановлені статтею 10 Закону України «Про засади державної регуляторної політики у сфері господарської діяльності»;</w:t>
      </w:r>
    </w:p>
    <w:p w14:paraId="08DF7F68" w14:textId="28E6C819" w:rsidR="00DF7204" w:rsidRDefault="00D50866">
      <w:pPr>
        <w:pStyle w:val="ac"/>
        <w:numPr>
          <w:ilvl w:val="0"/>
          <w:numId w:val="1"/>
        </w:numPr>
        <w:tabs>
          <w:tab w:val="left" w:pos="993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базове відстеження буде здійснено у </w:t>
      </w:r>
      <w:r w:rsidR="00D95A4F">
        <w:rPr>
          <w:rFonts w:ascii="Times New Roman" w:eastAsia="Times New Roman" w:hAnsi="Times New Roman" w:cs="Times New Roman"/>
          <w:color w:val="000000" w:themeColor="text1"/>
        </w:rPr>
        <w:t>вересні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</w:t>
      </w:r>
      <w:r w:rsidR="00D95A4F">
        <w:rPr>
          <w:rFonts w:ascii="Times New Roman" w:eastAsia="Times New Roman" w:hAnsi="Times New Roman" w:cs="Times New Roman"/>
          <w:color w:val="000000" w:themeColor="text1"/>
        </w:rPr>
        <w:t>21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року,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тобто до набуття чинності рішення;</w:t>
      </w:r>
    </w:p>
    <w:p w14:paraId="012768C7" w14:textId="77777777" w:rsidR="00DF7204" w:rsidRDefault="00D50866">
      <w:pPr>
        <w:pStyle w:val="ac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повторне відстеження буде проведено </w:t>
      </w:r>
      <w:r>
        <w:rPr>
          <w:rFonts w:ascii="Times New Roman" w:hAnsi="Times New Roman" w:cs="Times New Roman"/>
          <w:color w:val="000000"/>
        </w:rPr>
        <w:t>не раніше, чим через рік після затвердження регуляторного акт,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але не пізніше двох років з дня набрання чинності цим актом;</w:t>
      </w:r>
    </w:p>
    <w:p w14:paraId="5FEB47A9" w14:textId="77777777" w:rsidR="00DF7204" w:rsidRDefault="00D50866">
      <w:pPr>
        <w:pStyle w:val="ac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періодичне відстеження планується здійснювати раз на кожні т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ри роки, починаючи з дня закінчення заходів з повторного відстеження результативності цього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0290AC7" w14:textId="77777777" w:rsidR="00DF7204" w:rsidRDefault="00D50866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2"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Для здійснення відстеження результативності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планується використання </w:t>
      </w:r>
      <w:r>
        <w:rPr>
          <w:rFonts w:ascii="Times New Roman" w:hAnsi="Times New Roman" w:cs="Times New Roman"/>
          <w:color w:val="000000"/>
        </w:rPr>
        <w:t>даних відділу транспорту та зв’язку виконавчого комітету Мелітопольськ</w:t>
      </w:r>
      <w:r>
        <w:rPr>
          <w:rFonts w:ascii="Times New Roman" w:hAnsi="Times New Roman" w:cs="Times New Roman"/>
          <w:color w:val="000000"/>
        </w:rPr>
        <w:t xml:space="preserve">ої міської ради Запорізької області та отриманої інформації шляхом опитування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суб’єктів господарювання </w:t>
      </w:r>
      <w:r>
        <w:rPr>
          <w:rFonts w:ascii="Times New Roman" w:hAnsi="Times New Roman" w:cs="Times New Roman"/>
          <w:color w:val="000000"/>
        </w:rPr>
        <w:t>протягом засідань робочих груп.</w:t>
      </w:r>
    </w:p>
    <w:p w14:paraId="218F62F7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n109"/>
      <w:bookmarkEnd w:id="1"/>
    </w:p>
    <w:p w14:paraId="14D45C13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*Розрахунки витрат здійсненні відповідно наданих даних від суб’єктів господарювання під час проведення робочих </w:t>
      </w:r>
      <w:r>
        <w:rPr>
          <w:rFonts w:ascii="Times New Roman" w:eastAsia="Times New Roman" w:hAnsi="Times New Roman" w:cs="Times New Roman"/>
          <w:color w:val="000000" w:themeColor="text1"/>
        </w:rPr>
        <w:t>зустрічей.</w:t>
      </w:r>
    </w:p>
    <w:p w14:paraId="31DCFD2D" w14:textId="77777777" w:rsidR="00DF7204" w:rsidRDefault="00D50866">
      <w:pPr>
        <w:ind w:right="-32"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ВИТРАТИ 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акта</w:t>
      </w:r>
      <w:proofErr w:type="spellEnd"/>
    </w:p>
    <w:p w14:paraId="05E96AA3" w14:textId="77777777" w:rsidR="00DF7204" w:rsidRDefault="00DF7204">
      <w:pPr>
        <w:ind w:right="-32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6ACA709" w14:textId="77777777" w:rsidR="00DF7204" w:rsidRDefault="00D50866">
      <w:pPr>
        <w:ind w:right="-32" w:firstLine="709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Витрати розраховані  беручи до уваги розрахунки, надані від СПД протягом робочих зустрічей</w:t>
      </w:r>
    </w:p>
    <w:p w14:paraId="0890EA7A" w14:textId="77777777" w:rsidR="00DF7204" w:rsidRDefault="00DF7204">
      <w:pPr>
        <w:ind w:right="-32" w:firstLine="709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976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92"/>
        <w:gridCol w:w="9982"/>
        <w:gridCol w:w="2127"/>
        <w:gridCol w:w="2075"/>
      </w:tblGrid>
      <w:tr w:rsidR="00DF7204" w14:paraId="6B87447D" w14:textId="77777777">
        <w:trPr>
          <w:trHeight w:val="46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7FF481" w14:textId="77777777" w:rsidR="00DF7204" w:rsidRDefault="00D50866">
            <w:pPr>
              <w:ind w:left="-113" w:right="-2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 з/п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9D3DCD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CB239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 перши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й рік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21B77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 п’ять років</w:t>
            </w:r>
          </w:p>
        </w:tc>
      </w:tr>
      <w:tr w:rsidR="00DF7204" w14:paraId="1233F6BE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5B527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777E2B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2FF06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27069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6ED0F6C7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8D997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46084E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Податки та збори (зміна розміру податків/зборів, виникнення необхідності у сплаті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податків/зборів),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B985A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49586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20CE0E1B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98133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255C61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пов’язані із веденням обліку, підготовкою та поданням звітності державним органам, гривень зарплата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55A85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27E6C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29391CCE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FFEE2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607841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 приписів тощо), гривень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F23BE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F0715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239CFF29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12CA8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F05FA7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отримання адміністративних послуг (дозволів, ліцензій, сертифікатів, атестатів, погоджень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69275D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C0843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46E9A1F8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F57EF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14B6F9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 на оборотні активи (матеріали, канцелярські товари тощо),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BC683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F6E63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13C750E3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77B7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484BF0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пов’язані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додаткового персоналу,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96098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F7997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429F9169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76C23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06C40D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Інше (плата за тимчасове користування місцем розташування рекламної конструкції ),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9C066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AE9BE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4CF8A2FB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9A2E3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EC530A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 (сума рядків: 1 + 2 + 3 + 4 + 5 + 6 + 7 + 8),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3A9D1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A9824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26E7AAE5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915D4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B58FA4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546EC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2BA1B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76DECC6A" w14:textId="77777777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93DCA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8399E6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регулювання) (рядок 9 х рядок 10), гривень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B3FA1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8E805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C5508E6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5434C47" w14:textId="77777777" w:rsidR="00DF7204" w:rsidRDefault="00D50866">
      <w:pPr>
        <w:ind w:right="-32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Розрахунок відповідних витрат на одного суб’єкта господарювання</w:t>
      </w:r>
    </w:p>
    <w:p w14:paraId="41D208C6" w14:textId="77777777" w:rsidR="00DF7204" w:rsidRDefault="00DF7204">
      <w:pPr>
        <w:ind w:right="-32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977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655"/>
        <w:gridCol w:w="1842"/>
        <w:gridCol w:w="2552"/>
        <w:gridCol w:w="2928"/>
      </w:tblGrid>
      <w:tr w:rsidR="00DF7204" w14:paraId="03EEB9E8" w14:textId="77777777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A76A9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B235A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 перший рік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C1CE2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Періодичні (за рік)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0E200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57481A0E" w14:textId="77777777"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5EB033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 на придбання основних фондів, обладнання та приладів,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сервісне обслуговування, навчання/підвищення кваліфікації персоналу тощо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9A9A3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1A722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9A94B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041C624E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977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87"/>
        <w:gridCol w:w="4677"/>
        <w:gridCol w:w="3213"/>
      </w:tblGrid>
      <w:tr w:rsidR="00DF7204" w14:paraId="4C409D45" w14:textId="77777777"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F40E4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0D549C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7C6521" w14:textId="77777777" w:rsidR="00DF7204" w:rsidRDefault="00D5086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6DBFCA8C" w14:textId="77777777"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DE4AB0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Податки та збори (зміна розміру податків/зборів, виникнення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необхідності у сплаті податків/зборів)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E42DF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C4F38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71CA5FC2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951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11"/>
        <w:gridCol w:w="3259"/>
        <w:gridCol w:w="3260"/>
        <w:gridCol w:w="992"/>
        <w:gridCol w:w="1629"/>
      </w:tblGrid>
      <w:tr w:rsidR="00DF7204" w14:paraId="6EC19A75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C87BE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46327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0A1E0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оплату штрафних санкцій за рік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2F9C0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 за рік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80D6E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385B6685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4F7756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пов’язані із веденням обліку,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підготовкою та поданням звітності державним органам (витрати часу персоналу)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A1E96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83A8A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E9C3C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09144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2578D2C9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73B3406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</w:t>
      </w:r>
      <w:r>
        <w:rPr>
          <w:rFonts w:ascii="Times New Roman" w:eastAsia="Times New Roman" w:hAnsi="Times New Roman" w:cs="Times New Roman"/>
          <w:color w:val="000000" w:themeColor="text1"/>
        </w:rPr>
        <w:t>плату спеціаліста відповідної кваліфікації).</w:t>
      </w:r>
    </w:p>
    <w:p w14:paraId="25479D34" w14:textId="77777777" w:rsidR="00DF7204" w:rsidRDefault="00DF7204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0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660"/>
        <w:gridCol w:w="2977"/>
        <w:gridCol w:w="2835"/>
        <w:gridCol w:w="992"/>
        <w:gridCol w:w="1536"/>
      </w:tblGrid>
      <w:tr w:rsidR="00DF7204" w14:paraId="774ECEAD" w14:textId="77777777"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66914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4DF61C0" w14:textId="77777777" w:rsidR="00DF7204" w:rsidRDefault="00D50866">
            <w:pPr>
              <w:ind w:left="-101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8B5D53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C2AB3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 за рік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2EB12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77DB3B71" w14:textId="77777777"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5BCBD0" w14:textId="77777777" w:rsidR="00DF7204" w:rsidRDefault="00D50866">
            <w:pPr>
              <w:ind w:left="-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6B2D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28D35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41025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033A2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0844441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D3B4229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* Вартість витрат, пов’язаних з адмініструванням заходів державного нагляду (контролю), </w:t>
      </w:r>
      <w:r>
        <w:rPr>
          <w:rFonts w:ascii="Times New Roman" w:eastAsia="Times New Roman" w:hAnsi="Times New Roman" w:cs="Times New Roman"/>
          <w:color w:val="000000" w:themeColor="text1"/>
        </w:rPr>
        <w:t>визначається шляхом множення фактичних витрат часу персоналу на заробітну плату спеціаліста відповідної кваліфікації.</w:t>
      </w:r>
    </w:p>
    <w:p w14:paraId="456602D9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26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098"/>
        <w:gridCol w:w="3256"/>
        <w:gridCol w:w="3402"/>
        <w:gridCol w:w="1710"/>
        <w:gridCol w:w="1560"/>
      </w:tblGrid>
      <w:tr w:rsidR="00DF7204" w14:paraId="41F3BFA0" w14:textId="77777777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88248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ED7BB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B042A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безпосередньо на дозволи, ліце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нзії, сертифікати, страхові поліси (за рік - стартовий)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3F996FF" w14:textId="77777777" w:rsidR="00DF7204" w:rsidRDefault="00D50866">
            <w:pPr>
              <w:ind w:left="-9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 за рік (стартовий)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22AA7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63A424BA" w14:textId="77777777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0B2FC5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обов’язкових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347FD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185A4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4D32F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A8CBE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2B21E769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0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104"/>
        <w:gridCol w:w="2410"/>
        <w:gridCol w:w="3969"/>
        <w:gridCol w:w="3517"/>
      </w:tblGrid>
      <w:tr w:rsidR="00DF7204" w14:paraId="077DCB9F" w14:textId="77777777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EB779F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CDE15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 рік (стартовий)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84BFD0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Періодичні (за наступний рік)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362D8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 п’ять років</w:t>
            </w:r>
          </w:p>
        </w:tc>
      </w:tr>
      <w:tr w:rsidR="00DF7204" w14:paraId="46819B30" w14:textId="77777777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F946FC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 на оборотні активи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(матеріали, канцелярські товари тощо)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5228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AADEA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2D64D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752B649D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26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662"/>
        <w:gridCol w:w="4820"/>
        <w:gridCol w:w="3544"/>
      </w:tblGrid>
      <w:tr w:rsidR="00DF7204" w14:paraId="611FAC95" w14:textId="77777777"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CBFD59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Вид витрат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72EE8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оплату праці додатково найманого персоналу (за рік)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35B2F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п’ять років</w:t>
            </w:r>
          </w:p>
        </w:tc>
      </w:tr>
      <w:tr w:rsidR="00DF7204" w14:paraId="0EAE4F9D" w14:textId="77777777"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2CBDD4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Витрати, пов’язані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додаткового персоналу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7B358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C02DE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030F933" w14:textId="77777777" w:rsidR="00DF7204" w:rsidRDefault="00DF7204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1D4F817" w14:textId="77777777" w:rsidR="00DF7204" w:rsidRDefault="00DF7204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23E46AC" w14:textId="77777777" w:rsidR="00DF7204" w:rsidRDefault="00D50866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БЮДЖЕТНІ ВИТРАТИ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на адміністрування </w:t>
      </w:r>
      <w:r>
        <w:rPr>
          <w:rFonts w:ascii="Times New Roman" w:eastAsia="Times New Roman" w:hAnsi="Times New Roman" w:cs="Times New Roman"/>
          <w:b/>
          <w:color w:val="000000" w:themeColor="text1"/>
        </w:rPr>
        <w:t>регулювання для суб’єктів великого і середнього підприємництва</w:t>
      </w:r>
    </w:p>
    <w:p w14:paraId="0A2A16CC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BB94038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5CE148FB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>Де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ржавний орган, для якого здійснюється розрахунок адміністрування регулювання: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виконавчий комітет Мелітопольської міської ради Запорізької області.</w:t>
      </w:r>
    </w:p>
    <w:p w14:paraId="49B9BE91" w14:textId="77777777" w:rsidR="00DF7204" w:rsidRDefault="00DF7204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75D0A467" w14:textId="77777777" w:rsidR="00DF7204" w:rsidRDefault="00DF7204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tbl>
      <w:tblPr>
        <w:tblW w:w="15035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1801"/>
        <w:gridCol w:w="2735"/>
        <w:gridCol w:w="2327"/>
        <w:gridCol w:w="2069"/>
        <w:gridCol w:w="2133"/>
      </w:tblGrid>
      <w:tr w:rsidR="00DF7204" w14:paraId="0E9D45E6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03FFA8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Процедура регулювання суб’єктів великого і середнього підприємництва (розрахунок на одного типового суб’єкт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 господарювання)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17BEC3C" w14:textId="77777777" w:rsidR="00DF7204" w:rsidRDefault="00D50866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Планові витрати часу на процедуру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A227AAF" w14:textId="77777777" w:rsidR="00DF7204" w:rsidRDefault="00D50866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7C970F3" w14:textId="77777777" w:rsidR="00DF7204" w:rsidRDefault="00D50866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5FF1144" w14:textId="77777777" w:rsidR="00DF7204" w:rsidRDefault="00D50866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Оцінка кількості суб’єктів, що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підпадають під дію процедури регулювання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5462244" w14:textId="77777777" w:rsidR="00DF7204" w:rsidRDefault="00D50866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Витрати на адміністрування регулювання* (за рік), гривень</w:t>
            </w:r>
          </w:p>
        </w:tc>
      </w:tr>
      <w:tr w:rsidR="00DF7204" w14:paraId="3B550C42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28F4F10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/>
              </w:rPr>
              <w:t>Облік суб’єкта господарювання, що перебуває у сфері регулювання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ED8EFB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371A76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A2F3B4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10138F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6F2CAA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0BB4B5F5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8C42488" w14:textId="77777777" w:rsidR="00DF7204" w:rsidRDefault="00D5086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2. </w:t>
            </w:r>
            <w:r>
              <w:rPr>
                <w:rFonts w:ascii="Times New Roman" w:hAnsi="Times New Roman"/>
              </w:rPr>
              <w:t xml:space="preserve">Поточний контроль за суб’єктом господарювання, що перебуває у сфері </w:t>
            </w:r>
            <w:r>
              <w:rPr>
                <w:rFonts w:ascii="Times New Roman" w:hAnsi="Times New Roman"/>
              </w:rPr>
              <w:t>регулювання, у тому числі:</w:t>
            </w:r>
          </w:p>
          <w:p w14:paraId="27BA461B" w14:textId="77777777" w:rsidR="00DF7204" w:rsidRDefault="00D50866">
            <w:pPr>
              <w:ind w:left="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камеральні</w:t>
            </w:r>
          </w:p>
          <w:p w14:paraId="30204556" w14:textId="77777777" w:rsidR="00DF7204" w:rsidRDefault="00D50866">
            <w:pPr>
              <w:ind w:left="8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виїзні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110D1A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D48C71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C0AB71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21FB3B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53F628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5CEE3129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EB53FB6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 Підготовка, затвердження та опрацювання одного окремого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 порушення вимог регулювання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A59FC6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9362DE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E8CC3D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941509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9BE848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3AFFF055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8E0EC1A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7CE851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8D5004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E776DD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6BEB69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D6F89A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78164F28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7B3B6B0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 Оскарження одного окремого рішення </w:t>
            </w:r>
            <w:r>
              <w:rPr>
                <w:rFonts w:ascii="Times New Roman" w:hAnsi="Times New Roman"/>
              </w:rPr>
              <w:t>суб’єктами господарювання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4742E3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81CE6B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7CCD1C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79989F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84E1F5F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67699077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AE7B4F6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 Підготовка звітності за результатами регулювання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615E58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1146E8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7E0E0E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9219A3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9254F8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39229418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7D80091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 Інші адміністративні процедури (уточнити)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49AA4A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BAA61D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2778B02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F1C9DC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7DD8AC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DF7204" w14:paraId="29BA0A68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E982A57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Разом за рік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E9D52B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47A8A0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C0ED336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FC9AB3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6B931D9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</w:tr>
      <w:tr w:rsidR="00DF7204" w14:paraId="5AC6568C" w14:textId="77777777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12DF093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Сумарно за п’ять років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A732B78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F575BEE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56EA24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054A8D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ADEA75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</w:tr>
    </w:tbl>
    <w:p w14:paraId="05F32BF4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CE9E31D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* </w:t>
      </w:r>
      <w:r>
        <w:rPr>
          <w:rFonts w:ascii="Times New Roman" w:eastAsia="Times New Roman" w:hAnsi="Times New Roman" w:cs="Times New Roman"/>
          <w:color w:val="000000" w:themeColor="text1"/>
        </w:rPr>
        <w:t>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кількість суб’єктів, що підпадають під дію пр</w:t>
      </w:r>
      <w:r>
        <w:rPr>
          <w:rFonts w:ascii="Times New Roman" w:eastAsia="Times New Roman" w:hAnsi="Times New Roman" w:cs="Times New Roman"/>
          <w:color w:val="000000" w:themeColor="text1"/>
        </w:rPr>
        <w:t>оцедури регулювання, та на кількість процедур за рік.</w:t>
      </w:r>
    </w:p>
    <w:p w14:paraId="13BAC793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F87056D" w14:textId="77777777" w:rsidR="00DF7204" w:rsidRDefault="00D50866">
      <w:pPr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Державне регулювання </w:t>
      </w:r>
      <w:r>
        <w:rPr>
          <w:rFonts w:ascii="Times New Roman" w:eastAsia="Times New Roman" w:hAnsi="Times New Roman" w:cs="Times New Roman"/>
          <w:lang w:val="ru-RU"/>
        </w:rPr>
        <w:t xml:space="preserve">не </w:t>
      </w:r>
      <w:r>
        <w:rPr>
          <w:rFonts w:ascii="Times New Roman" w:eastAsia="Times New Roman" w:hAnsi="Times New Roman" w:cs="Times New Roman"/>
        </w:rPr>
        <w:t>передбачає утворення нового державного органу (або нового структурного підрозділу діючого органу).</w:t>
      </w:r>
    </w:p>
    <w:p w14:paraId="79E81B2F" w14:textId="77777777" w:rsidR="00DF7204" w:rsidRDefault="00DF7204">
      <w:pPr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867CC30" w14:textId="77777777" w:rsidR="00DF7204" w:rsidRDefault="00D50866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2" w:name="n197"/>
      <w:bookmarkEnd w:id="2"/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ТЕСТ 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</w:rPr>
        <w:t>малого підприємництва (М-Тест)</w:t>
      </w:r>
    </w:p>
    <w:p w14:paraId="21113FDB" w14:textId="77777777" w:rsidR="00DF7204" w:rsidRDefault="00DF7204">
      <w:pPr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DCB760C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 Консультації з </w:t>
      </w:r>
      <w:r>
        <w:rPr>
          <w:rFonts w:ascii="Times New Roman" w:eastAsia="Times New Roman" w:hAnsi="Times New Roman" w:cs="Times New Roman"/>
          <w:color w:val="000000" w:themeColor="text1"/>
        </w:rPr>
        <w:t>представниками мікро- та малого підприємництва щодо оцінки впливу регулювання</w:t>
      </w:r>
    </w:p>
    <w:p w14:paraId="717C7AC1" w14:textId="2E6B655D" w:rsidR="00DF7204" w:rsidRDefault="00D50866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ення регулювання, проведено розробником </w:t>
      </w:r>
      <w:r w:rsidR="00E005B8">
        <w:rPr>
          <w:rFonts w:ascii="Times New Roman" w:eastAsia="Times New Roman" w:hAnsi="Times New Roman" w:cs="Times New Roman"/>
          <w:color w:val="000000" w:themeColor="text1"/>
        </w:rPr>
        <w:t>17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8C3A09">
        <w:rPr>
          <w:rFonts w:ascii="Times New Roman" w:eastAsia="Times New Roman" w:hAnsi="Times New Roman" w:cs="Times New Roman"/>
          <w:color w:val="000000" w:themeColor="text1"/>
        </w:rPr>
        <w:t>09</w:t>
      </w:r>
      <w:r>
        <w:rPr>
          <w:rFonts w:ascii="Times New Roman" w:eastAsia="Times New Roman" w:hAnsi="Times New Roman" w:cs="Times New Roman"/>
          <w:color w:val="000000" w:themeColor="text1"/>
        </w:rPr>
        <w:t>.20</w:t>
      </w:r>
      <w:r w:rsidR="008C3A09">
        <w:rPr>
          <w:rFonts w:ascii="Times New Roman" w:eastAsia="Times New Roman" w:hAnsi="Times New Roman" w:cs="Times New Roman"/>
          <w:color w:val="000000" w:themeColor="text1"/>
        </w:rPr>
        <w:t>21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F7E3A7E" w14:textId="77777777" w:rsidR="00DF7204" w:rsidRDefault="00DF72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26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7333"/>
        <w:gridCol w:w="1756"/>
        <w:gridCol w:w="5229"/>
      </w:tblGrid>
      <w:tr w:rsidR="00DF7204" w14:paraId="2AADCDC4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96E1B2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 з/п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F5D2F0D" w14:textId="77777777" w:rsidR="00DF7204" w:rsidRDefault="00D50866">
            <w:pPr>
              <w:ind w:firstLine="6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науковців тощо)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4E2C0D8" w14:textId="77777777" w:rsidR="00DF7204" w:rsidRDefault="00D50866">
            <w:pPr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Кількість учасників консультацій, осіб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A0CDE03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Основні результати консультацій (опис)</w:t>
            </w:r>
          </w:p>
        </w:tc>
      </w:tr>
      <w:tr w:rsidR="00DF7204" w14:paraId="646F18BF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8BBA647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E6D5FA" w14:textId="77777777" w:rsidR="00DF7204" w:rsidRDefault="00D508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Робоча зустріч та запити до підприємців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FAB85AE" w14:textId="4F426FD3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0322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341DFC" w14:textId="77777777" w:rsidR="00DF7204" w:rsidRDefault="00D5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Обговорення проблемних питань у сфері </w:t>
            </w:r>
            <w:proofErr w:type="spellStart"/>
            <w:r>
              <w:rPr>
                <w:rFonts w:ascii="Times New Roman" w:hAnsi="Times New Roman" w:cs="Times New Roman"/>
              </w:rPr>
              <w:t>пасажироперевезень</w:t>
            </w:r>
            <w:proofErr w:type="spellEnd"/>
            <w:r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оведення до відома суб’єктів господарювання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основних аспектів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надання роз’яснень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 порядок та умови подачі документів, проведення перевірок та конкурсів</w:t>
            </w:r>
          </w:p>
        </w:tc>
      </w:tr>
    </w:tbl>
    <w:p w14:paraId="15154D2D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D3E7F80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 Вимірювання впливу регулювання на суб’єктів малого підприємництва (мікро- та малі):</w:t>
      </w:r>
    </w:p>
    <w:p w14:paraId="11AE4EA2" w14:textId="6A03BD1E" w:rsidR="00DF7204" w:rsidRDefault="00D50866">
      <w:pPr>
        <w:tabs>
          <w:tab w:val="left" w:pos="993"/>
        </w:tabs>
        <w:ind w:right="-32"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кількість </w:t>
      </w:r>
      <w:r>
        <w:rPr>
          <w:rFonts w:ascii="Times New Roman" w:eastAsia="Times New Roman" w:hAnsi="Times New Roman" w:cs="Times New Roman"/>
          <w:color w:val="000000" w:themeColor="text1"/>
        </w:rPr>
        <w:t>суб’єктів малого підприємництва, на яких поширюється регулювання: 1</w:t>
      </w:r>
      <w:r w:rsidR="008C3A09">
        <w:rPr>
          <w:rFonts w:ascii="Times New Roman" w:eastAsia="Times New Roman" w:hAnsi="Times New Roman" w:cs="Times New Roman"/>
          <w:color w:val="000000" w:themeColor="text1"/>
        </w:rPr>
        <w:t>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(одиниць), у тому числі малого підприємництва </w:t>
      </w:r>
      <w:r w:rsidR="008C3A09">
        <w:rPr>
          <w:rFonts w:ascii="Times New Roman" w:eastAsia="Times New Roman" w:hAnsi="Times New Roman" w:cs="Times New Roman"/>
          <w:color w:val="000000" w:themeColor="text1"/>
        </w:rPr>
        <w:t>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(одиниць)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мікропідприємництва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3 (одиниці);</w:t>
      </w:r>
    </w:p>
    <w:p w14:paraId="670B5D83" w14:textId="77777777" w:rsidR="00DF7204" w:rsidRDefault="00D50866">
      <w:pPr>
        <w:tabs>
          <w:tab w:val="left" w:pos="993"/>
        </w:tabs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ab/>
        <w:t>питома вага суб’єктів малого підприємництва у загальній кількості суб’єктів господарювання,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на яких проблема справляє вплив 100 % (відсотків) (відповідно до таблиці «Оцінка впливу на сферу інтересів суб’єктів господарювання»</w:t>
      </w:r>
      <w:r>
        <w:rPr>
          <w:rFonts w:ascii="Times New Roman" w:eastAsia="Times New Roman" w:hAnsi="Times New Roman" w:cs="Times New Roman"/>
          <w:color w:val="000000" w:themeColor="text1"/>
        </w:rPr>
        <w:br/>
        <w:t xml:space="preserve">додатка 1 до Методики проведення аналізу впливу регуляторного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3A0F616D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26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60"/>
        <w:gridCol w:w="1701"/>
        <w:gridCol w:w="1843"/>
        <w:gridCol w:w="1842"/>
      </w:tblGrid>
      <w:tr w:rsidR="00DF7204" w14:paraId="7D8DF973" w14:textId="77777777">
        <w:trPr>
          <w:trHeight w:val="170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196F95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DA90EE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Великі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F6C037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Середні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39024E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Малі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1A3BC9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Мікро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745282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Разом</w:t>
            </w:r>
          </w:p>
        </w:tc>
      </w:tr>
      <w:tr w:rsidR="00DF7204" w14:paraId="12F1E17B" w14:textId="77777777">
        <w:trPr>
          <w:trHeight w:val="170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A7A1C5" w14:textId="77777777" w:rsidR="00DF7204" w:rsidRPr="00CB2386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F5D91C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96D925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152F57" w14:textId="4168A287" w:rsidR="00DF7204" w:rsidRPr="00CB2386" w:rsidRDefault="00903225">
            <w:pPr>
              <w:jc w:val="center"/>
              <w:rPr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C600B5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16135E" w14:textId="7BF1B081" w:rsidR="00DF7204" w:rsidRPr="00CB2386" w:rsidRDefault="00903225">
            <w:pPr>
              <w:jc w:val="center"/>
              <w:rPr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DF7204" w14:paraId="1AEAB0A8" w14:textId="77777777">
        <w:trPr>
          <w:trHeight w:val="170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63E779" w14:textId="77777777" w:rsidR="00DF7204" w:rsidRPr="00CB2386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Питома вага групи у загальній кількості, відсотків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B40B36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1EF2EF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5A65E9" w14:textId="1AB74BBB" w:rsidR="00DF7204" w:rsidRPr="00CB2386" w:rsidRDefault="00D50866">
            <w:pPr>
              <w:jc w:val="center"/>
              <w:rPr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CB2386"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,0%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046021" w14:textId="48E28092" w:rsidR="00DF7204" w:rsidRPr="00CB2386" w:rsidRDefault="00D50866">
            <w:pPr>
              <w:jc w:val="center"/>
              <w:rPr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B2386"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,0%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E8B815" w14:textId="77777777" w:rsidR="00DF7204" w:rsidRPr="00CB2386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386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</w:tr>
    </w:tbl>
    <w:p w14:paraId="3887EB42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590EBA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096E7E9" w14:textId="77777777" w:rsidR="00DF7204" w:rsidRDefault="00D50866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 Розрахунок витрат суб’єктів малого підприємництва на виконання вимог </w:t>
      </w:r>
      <w:r>
        <w:rPr>
          <w:rFonts w:ascii="Times New Roman" w:eastAsia="Times New Roman" w:hAnsi="Times New Roman" w:cs="Times New Roman"/>
          <w:color w:val="000000" w:themeColor="text1"/>
        </w:rPr>
        <w:t>регулювання</w:t>
      </w:r>
    </w:p>
    <w:p w14:paraId="184BB688" w14:textId="77777777" w:rsidR="00DF7204" w:rsidRDefault="00DF7204">
      <w:pPr>
        <w:ind w:right="-32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4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7398"/>
        <w:gridCol w:w="3681"/>
        <w:gridCol w:w="1726"/>
        <w:gridCol w:w="1681"/>
      </w:tblGrid>
      <w:tr w:rsidR="00DF7204" w14:paraId="36D679E0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A62D90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№ з/п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EC2F5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Найменування оцінки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F9FC16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88B9F" w14:textId="77777777" w:rsidR="00DF7204" w:rsidRDefault="00D50866">
            <w:pPr>
              <w:pStyle w:val="a6"/>
              <w:spacing w:after="0" w:line="240" w:lineRule="auto"/>
              <w:ind w:left="-119" w:right="-102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Періодичні (за наступний рік)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210C02" w14:textId="77777777" w:rsidR="00DF7204" w:rsidRDefault="00D50866">
            <w:pPr>
              <w:pStyle w:val="a6"/>
              <w:spacing w:after="0" w:line="240" w:lineRule="auto"/>
              <w:ind w:left="-107" w:right="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Витрати за п’ять років</w:t>
            </w:r>
          </w:p>
        </w:tc>
      </w:tr>
      <w:tr w:rsidR="00DF7204" w14:paraId="09ED2268" w14:textId="77777777">
        <w:tc>
          <w:tcPr>
            <w:tcW w:w="15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E5559" w14:textId="77777777" w:rsidR="00DF7204" w:rsidRDefault="00D50866">
            <w:pPr>
              <w:pStyle w:val="a6"/>
              <w:spacing w:after="0" w:line="240" w:lineRule="auto"/>
              <w:ind w:firstLine="768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F7204" w14:paraId="53F4E0B0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4DB8E9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BA745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Придбання необхідного обладнання (пристроїв, машин, механізмів) –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gps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систем слідкування за транспортом</w:t>
            </w:r>
          </w:p>
          <w:p w14:paraId="6B0D0018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6CC9867C" w14:textId="77777777" w:rsidR="00DF7204" w:rsidRDefault="00D50866">
            <w:pPr>
              <w:pStyle w:val="a6"/>
              <w:spacing w:after="0" w:line="240" w:lineRule="auto"/>
              <w:ind w:right="-65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кількість необхідних одиниць обладнання Х вартість одиниці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39474D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70F903" w14:textId="77777777" w:rsidR="00DF7204" w:rsidRDefault="00DF7204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DD017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6E618EB8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5CB413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752B93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Процедури повірки та/або постановки на відповідний облік у </w:t>
            </w:r>
            <w:r>
              <w:rPr>
                <w:rFonts w:ascii="Times New Roman" w:hAnsi="Times New Roman" w:cs="Times New Roman"/>
                <w:szCs w:val="28"/>
              </w:rPr>
              <w:t>визначеному органі державної влади чи місцевого самоврядування</w:t>
            </w:r>
          </w:p>
          <w:p w14:paraId="611564D1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0CC98B88" w14:textId="77777777" w:rsidR="00DF7204" w:rsidRDefault="00D5086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A9F93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C88299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470A44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F7204" w14:paraId="33F34C4F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AD15A4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40487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Процедури експлуатації обладнання (експлуатаційні витрати - витратні </w:t>
            </w:r>
            <w:r>
              <w:rPr>
                <w:rFonts w:ascii="Times New Roman" w:hAnsi="Times New Roman" w:cs="Times New Roman"/>
                <w:szCs w:val="28"/>
              </w:rPr>
              <w:t>матеріали)</w:t>
            </w:r>
          </w:p>
          <w:p w14:paraId="66CE819D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1B4F4452" w14:textId="77777777" w:rsidR="00DF7204" w:rsidRDefault="00D5086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суб’єкту малого підприємництва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FCC0ED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821458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536269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763FE17C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C33756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2EA068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Процедури обслуговування обладнання </w:t>
            </w:r>
            <w:r>
              <w:rPr>
                <w:rFonts w:eastAsia="Times New Roman"/>
                <w:szCs w:val="28"/>
                <w:lang w:eastAsia="ru-RU"/>
              </w:rPr>
              <w:t>(</w:t>
            </w:r>
            <w:r>
              <w:rPr>
                <w:rFonts w:asciiTheme="minorHAnsi" w:eastAsia="Times New Roman" w:hAnsiTheme="minorHAnsi"/>
                <w:szCs w:val="28"/>
                <w:lang w:eastAsia="ru-RU"/>
              </w:rPr>
              <w:t>технічне</w:t>
            </w:r>
            <w:r>
              <w:rPr>
                <w:rFonts w:eastAsia="Times New Roman"/>
                <w:szCs w:val="28"/>
                <w:lang w:eastAsia="ru-RU"/>
              </w:rPr>
              <w:t xml:space="preserve"> обслуговування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14:paraId="12CC782C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492AE0EA" w14:textId="77777777" w:rsidR="00DF7204" w:rsidRDefault="00D5086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ладнання одному суб’єкту малого підприємництва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33BF1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1F323D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D73602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4861C607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BA4E6E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5F9985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>Інші процедури 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9148B3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9EDC82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7E4D21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10BB8EE3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F6C89E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B3994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>Заробітна плата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5CB6FD" w14:textId="23EB9DCC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265366,14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E4C1AE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E70BC6" w14:textId="60DBBB69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1326830,70</w:t>
            </w:r>
          </w:p>
        </w:tc>
      </w:tr>
      <w:tr w:rsidR="00DF7204" w14:paraId="7693CE39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6559C8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3213C9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>ГСМ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2E06D3" w14:textId="67052F6B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>601325,41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8896C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4CB3A1" w14:textId="5A6B0994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3006627,05</w:t>
            </w:r>
          </w:p>
        </w:tc>
      </w:tr>
      <w:tr w:rsidR="00DF7204" w14:paraId="39790EEF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5B5D64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1A8DF0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>Техобслуговування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C3E40B" w14:textId="6AF0C385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>50675,04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1021C8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CE0CE" w14:textId="0CA3B39A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253375,20</w:t>
            </w:r>
          </w:p>
        </w:tc>
      </w:tr>
      <w:tr w:rsidR="00DF7204" w14:paraId="5D56BD43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3EC754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1DFEC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 xml:space="preserve">Шини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A824B1" w14:textId="30B66423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>49431,44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9490D7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854937" w14:textId="2B13CD75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247157,20</w:t>
            </w:r>
          </w:p>
        </w:tc>
      </w:tr>
      <w:tr w:rsidR="00DF7204" w14:paraId="27E60723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A79DF6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3D26A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>Накладні витрати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8C0381" w14:textId="5685400D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>241712,93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F1AEC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6885E9" w14:textId="7DCE972E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1208564,65</w:t>
            </w:r>
          </w:p>
        </w:tc>
      </w:tr>
      <w:tr w:rsidR="00DF7204" w14:paraId="2282B5FA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AC9073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2E513C" w14:textId="77777777" w:rsidR="00DF7204" w:rsidRDefault="00D50866">
            <w:pPr>
              <w:pStyle w:val="a6"/>
              <w:spacing w:after="0" w:line="240" w:lineRule="auto"/>
              <w:jc w:val="both"/>
            </w:pPr>
            <w:r>
              <w:t>Амортизація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EF533E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76803,3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979D2" w14:textId="77777777" w:rsidR="00DF7204" w:rsidRDefault="00DF720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A3305A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t>384016,5</w:t>
            </w:r>
          </w:p>
        </w:tc>
      </w:tr>
      <w:tr w:rsidR="00DF7204" w14:paraId="72E675A3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8C0407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3299B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Разом, гривень</w:t>
            </w:r>
          </w:p>
          <w:p w14:paraId="63DFE776" w14:textId="77777777" w:rsidR="00DF7204" w:rsidRDefault="00D50866">
            <w:pPr>
              <w:pStyle w:val="ae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 (сума рядків 1 + 2 + 3 + 4 + 5)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BF9700" w14:textId="5DE264D1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1285314,26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109B84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2AD97D" w14:textId="57F5F902" w:rsidR="00DF7204" w:rsidRPr="00314ACB" w:rsidRDefault="00314ACB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6426571,30</w:t>
            </w:r>
          </w:p>
        </w:tc>
      </w:tr>
      <w:tr w:rsidR="00DF7204" w14:paraId="573D80D1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3BD745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E18A8" w14:textId="77777777" w:rsidR="00DF7204" w:rsidRDefault="00D5086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70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C4AD6A" w14:textId="00EF9F93" w:rsidR="00DF7204" w:rsidRPr="00314ACB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1</w:t>
            </w:r>
            <w:r w:rsidR="00314ACB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F7204" w14:paraId="3052EF12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83AC70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7B2EB5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Сумарно, гривень</w:t>
            </w:r>
          </w:p>
          <w:p w14:paraId="63BBD6DA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382E6833" w14:textId="77777777" w:rsidR="00DF7204" w:rsidRDefault="00D5086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відповідний стовпчик «разом» Х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6041CB" w14:textId="4CB6D0DE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14138456,86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C8FDB5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9F75A" w14:textId="74FA4957" w:rsidR="00DF7204" w:rsidRDefault="00314ACB">
            <w:pPr>
              <w:pStyle w:val="a6"/>
              <w:spacing w:after="0" w:line="240" w:lineRule="auto"/>
              <w:jc w:val="center"/>
            </w:pPr>
            <w:bookmarkStart w:id="3" w:name="__DdeLink__2401_1665637129"/>
            <w:bookmarkEnd w:id="3"/>
            <w:r>
              <w:rPr>
                <w:rFonts w:ascii="Times New Roman" w:hAnsi="Times New Roman" w:cs="Times New Roman"/>
                <w:color w:val="000000"/>
                <w:szCs w:val="28"/>
              </w:rPr>
              <w:t>70692284,30</w:t>
            </w:r>
          </w:p>
        </w:tc>
      </w:tr>
      <w:tr w:rsidR="00DF7204" w14:paraId="045F17C8" w14:textId="77777777">
        <w:tc>
          <w:tcPr>
            <w:tcW w:w="15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AA41EE" w14:textId="77777777" w:rsidR="00DF7204" w:rsidRDefault="00D50866">
            <w:pPr>
              <w:pStyle w:val="a6"/>
              <w:spacing w:after="0" w:line="240" w:lineRule="auto"/>
              <w:ind w:left="76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Оцінка вартості адміністративних процедур суб’єктів малого підприємництва щодо виконання</w:t>
            </w:r>
          </w:p>
          <w:p w14:paraId="36B030BC" w14:textId="77777777" w:rsidR="00DF7204" w:rsidRDefault="00D50866">
            <w:pPr>
              <w:pStyle w:val="a6"/>
              <w:spacing w:after="0" w:line="240" w:lineRule="auto"/>
              <w:ind w:left="768"/>
            </w:pPr>
            <w:r>
              <w:rPr>
                <w:rFonts w:ascii="Times New Roman" w:hAnsi="Times New Roman" w:cs="Times New Roman"/>
                <w:szCs w:val="28"/>
              </w:rPr>
              <w:t>регулювання та звітування</w:t>
            </w:r>
          </w:p>
          <w:p w14:paraId="204A7E15" w14:textId="77777777" w:rsidR="00DF7204" w:rsidRDefault="00DF7204">
            <w:pPr>
              <w:pStyle w:val="a6"/>
              <w:spacing w:after="0" w:line="240" w:lineRule="auto"/>
              <w:ind w:left="76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64D3A0AD" w14:textId="77777777" w:rsidR="00DF7204" w:rsidRDefault="00D50866">
            <w:pPr>
              <w:pStyle w:val="a6"/>
              <w:ind w:left="142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Розрахунок вартості 1 людино-години: </w:t>
            </w:r>
          </w:p>
          <w:p w14:paraId="25C7FDC4" w14:textId="0AA0DE17" w:rsidR="00DF7204" w:rsidRDefault="00D50866">
            <w:pPr>
              <w:pStyle w:val="a6"/>
              <w:spacing w:line="240" w:lineRule="auto"/>
              <w:ind w:left="142" w:firstLine="709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розрахунку використовується мінімальна заробітна плата, що станом на 01.01.20</w:t>
            </w:r>
            <w:r w:rsidR="0090322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становить </w:t>
            </w:r>
            <w:r w:rsidR="00903225">
              <w:rPr>
                <w:rFonts w:ascii="Times New Roman" w:hAnsi="Times New Roman" w:cs="Times New Roman"/>
                <w:color w:val="000000"/>
                <w:sz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грн. 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 погодинному розмірі </w:t>
            </w:r>
            <w:r w:rsidR="00A76D38">
              <w:rPr>
                <w:rFonts w:ascii="Times New Roman" w:hAnsi="Times New Roman" w:cs="Times New Roman"/>
                <w:b/>
                <w:color w:val="000000"/>
                <w:sz w:val="24"/>
              </w:rPr>
              <w:t>36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,1</w:t>
            </w:r>
            <w:r w:rsidR="00A76D38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грн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(ст.8 Закону України  «Про Державний бюджет Украї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ни на 20</w:t>
            </w:r>
            <w:r w:rsidR="0050599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рік»)</w:t>
            </w:r>
          </w:p>
        </w:tc>
      </w:tr>
      <w:tr w:rsidR="00DF7204" w14:paraId="13B47B1E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200363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2EBB7E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Процедури отримання первинної інформації про вимоги регулювання</w:t>
            </w:r>
          </w:p>
          <w:p w14:paraId="0DDB920A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3B7E4520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оціночна кількість форм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2EBF01" w14:textId="52FA37DF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36,11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627628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5BD2D8" w14:textId="2A276AB6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180,55</w:t>
            </w:r>
          </w:p>
        </w:tc>
      </w:tr>
      <w:tr w:rsidR="00DF7204" w14:paraId="5C243384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E3EECA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C7A65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Процедури організації виконання вимог регулювання</w:t>
            </w:r>
          </w:p>
          <w:p w14:paraId="1D006BAE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342FB6C5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838520" w14:textId="5D4AE260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36,11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6E322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946644" w14:textId="5A6729EF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180,55</w:t>
            </w:r>
          </w:p>
        </w:tc>
      </w:tr>
      <w:tr w:rsidR="00DF7204" w14:paraId="4470BD56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D92F9C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0459A6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Процедури офіційного звітування</w:t>
            </w:r>
          </w:p>
          <w:p w14:paraId="37F01763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10BE01F7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витрати часу на отримання інформації про порядок звітування щодо регулювання, отримання 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Х кількість періодів звітності за рік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5E21C4" w14:textId="24C67668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36,11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424F85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169B3" w14:textId="39722D4F" w:rsidR="00DF7204" w:rsidRDefault="00A76D38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180,55</w:t>
            </w:r>
          </w:p>
        </w:tc>
      </w:tr>
      <w:tr w:rsidR="00DF7204" w14:paraId="6ED21C6F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1C66C2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EE423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Процедури щодо забезпечення процесу перевірок </w:t>
            </w:r>
          </w:p>
          <w:p w14:paraId="2AA2ED61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477973D6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lastRenderedPageBreak/>
              <w:t xml:space="preserve">витрати часу на забезпечення процесу перевірок з боку контролюючих органів Х вартість часу суб’єкта малого підприємництва (заробітна 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плата) Х оціночна кількість перевірок за рік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5DAB2A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7C3C9B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2DD1AF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6D1506A3" w14:textId="77777777">
        <w:trPr>
          <w:trHeight w:val="415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99C3E4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CB527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Інші процедури (уточнити)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BE8345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BEA955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7315B8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1AA1CF11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AC9067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2C9C8E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Разом, гривень</w:t>
            </w:r>
          </w:p>
          <w:p w14:paraId="2F7EC4F6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 (сума рядків 9 + 10 + 11 + 12 + 13)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CEE3" w14:textId="54345FC6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108,33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4B92CF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BFFD1" w14:textId="7A67DB8B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541,65</w:t>
            </w:r>
          </w:p>
        </w:tc>
      </w:tr>
      <w:tr w:rsidR="00DF7204" w14:paraId="2DA25631" w14:textId="77777777">
        <w:trPr>
          <w:trHeight w:val="741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91865B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C4055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Кількість суб’єктів малого підприємництва, що повинні виконати вимоги </w:t>
            </w:r>
            <w:r>
              <w:rPr>
                <w:rFonts w:ascii="Times New Roman" w:hAnsi="Times New Roman" w:cs="Times New Roman"/>
                <w:szCs w:val="28"/>
              </w:rPr>
              <w:t>регулювання, одиниць</w:t>
            </w:r>
          </w:p>
        </w:tc>
        <w:tc>
          <w:tcPr>
            <w:tcW w:w="70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9CA63D" w14:textId="59C7A683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</w:tc>
      </w:tr>
      <w:tr w:rsidR="00DF7204" w14:paraId="39AC1198" w14:textId="77777777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D15C29" w14:textId="77777777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C959E0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Сумарно, гривень</w:t>
            </w:r>
          </w:p>
          <w:p w14:paraId="5889BD11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Формула:</w:t>
            </w:r>
          </w:p>
          <w:p w14:paraId="37271516" w14:textId="77777777" w:rsidR="00DF7204" w:rsidRDefault="00D50866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відповідний стовпчик «разом»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0B3A6" w14:textId="6E39D117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1191,63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D8CC29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1D0742" w14:textId="77A973AC" w:rsidR="00DF7204" w:rsidRDefault="00314ACB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5958,15</w:t>
            </w:r>
          </w:p>
        </w:tc>
      </w:tr>
    </w:tbl>
    <w:p w14:paraId="192BCAEA" w14:textId="77777777" w:rsidR="00DF7204" w:rsidRDefault="00DF7204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0142C8E" w14:textId="77777777" w:rsidR="00DF7204" w:rsidRDefault="00DF7204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0FE0A3E" w14:textId="77777777" w:rsidR="00DF7204" w:rsidRDefault="00D50866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Бюджетні витрати на </w:t>
      </w:r>
      <w:r>
        <w:rPr>
          <w:rFonts w:ascii="Times New Roman" w:eastAsia="Times New Roman" w:hAnsi="Times New Roman" w:cs="Times New Roman"/>
          <w:color w:val="000000" w:themeColor="text1"/>
        </w:rPr>
        <w:t>адміністрування регулювання суб’єктів малого підприємництва</w:t>
      </w:r>
    </w:p>
    <w:p w14:paraId="0CDBD161" w14:textId="77777777" w:rsidR="00DF7204" w:rsidRDefault="00DF7204">
      <w:pPr>
        <w:ind w:right="45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7FC3C72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</w:t>
      </w:r>
      <w:r>
        <w:rPr>
          <w:rFonts w:ascii="Times New Roman" w:eastAsia="Times New Roman" w:hAnsi="Times New Roman" w:cs="Times New Roman"/>
          <w:color w:val="000000" w:themeColor="text1"/>
        </w:rPr>
        <w:t>ння.</w:t>
      </w:r>
    </w:p>
    <w:p w14:paraId="52A7C2D2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Державний орган, для якого здійснюється розрахунок вартості адміністрування регулювання: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виконавчий комітет Мелітопольської міської ради Запорізької області.</w:t>
      </w:r>
    </w:p>
    <w:p w14:paraId="08E9D13A" w14:textId="77777777" w:rsidR="00DF7204" w:rsidRDefault="00DF7204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55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560"/>
        <w:gridCol w:w="2409"/>
        <w:gridCol w:w="2193"/>
        <w:gridCol w:w="2627"/>
        <w:gridCol w:w="2410"/>
      </w:tblGrid>
      <w:tr w:rsidR="00DF7204" w14:paraId="04C609E3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D0C56DF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Процедура регулювання суб’єктів малого підприємництва (розрахунок на одного типового </w:t>
            </w:r>
            <w:r>
              <w:rPr>
                <w:rFonts w:ascii="Times New Roman" w:hAnsi="Times New Roman" w:cs="Times New Roman"/>
                <w:szCs w:val="28"/>
              </w:rPr>
              <w:t xml:space="preserve">суб’єкта господарювання малого підприємництва - за потреби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окремо для суб’єктів малого та мікро-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підприємництв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D6D505A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Планові витрати часу на процедуру, години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5B04E08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7AE71BB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Оцінка кільк</w:t>
            </w:r>
            <w:r>
              <w:rPr>
                <w:rFonts w:ascii="Times New Roman" w:hAnsi="Times New Roman" w:cs="Times New Roman"/>
                <w:szCs w:val="28"/>
              </w:rPr>
              <w:t>ості процедур за рік, що припадають на одного суб’єкта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A4DF132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B2AD1FA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Витрати на адміністрування регулювання* (за рік), гривен</w:t>
            </w:r>
          </w:p>
        </w:tc>
      </w:tr>
      <w:tr w:rsidR="00DF7204" w14:paraId="356AA168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C76076E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707E91F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86FBCB" w14:textId="17034DE1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83,0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7650B2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4028E1C" w14:textId="0B40DCB2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314ACB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112B305" w14:textId="141732C1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228,25</w:t>
            </w:r>
          </w:p>
        </w:tc>
      </w:tr>
      <w:tr w:rsidR="00DF7204" w14:paraId="572D0946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6BEDD69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  <w:p w14:paraId="7340DBAF" w14:textId="77777777" w:rsidR="00DF7204" w:rsidRDefault="00D50866">
            <w:pPr>
              <w:pStyle w:val="a6"/>
              <w:spacing w:after="0" w:line="240" w:lineRule="auto"/>
              <w:ind w:left="85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камеральні</w:t>
            </w:r>
          </w:p>
          <w:p w14:paraId="1A38C0E9" w14:textId="77777777" w:rsidR="00DF7204" w:rsidRDefault="00D50866">
            <w:pPr>
              <w:pStyle w:val="a6"/>
              <w:spacing w:after="0" w:line="240" w:lineRule="auto"/>
              <w:ind w:left="858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виїзні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4D79B2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D426D57" w14:textId="1F05BB25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83,0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8698DFB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47894D3" w14:textId="2EB65EB5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314ACB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0F236CC" w14:textId="4FC63C12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913,0</w:t>
            </w:r>
          </w:p>
        </w:tc>
      </w:tr>
      <w:tr w:rsidR="00DF7204" w14:paraId="27A6E709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5C9A21C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3. Підготовка, затвердження та опрацювання одного окремого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про порушення вимог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регулювання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35D0AA6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36E7386" w14:textId="1B05C0EA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83,0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52A0C4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FEE44D1" w14:textId="566667BB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314ACB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2D2AF96" w14:textId="70278835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456,5</w:t>
            </w:r>
          </w:p>
        </w:tc>
      </w:tr>
      <w:tr w:rsidR="00DF7204" w14:paraId="3745AEB0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8F9FA11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4. Реалізація одного окремого рішення про порушення вимог регулювання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FB480D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07E774" w14:textId="553F22D8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83,0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947009E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3EF7F12" w14:textId="55E264D4" w:rsidR="00DF7204" w:rsidRDefault="00D50866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314ACB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EAAEEE" w14:textId="5C83FE7D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456,5</w:t>
            </w:r>
          </w:p>
        </w:tc>
      </w:tr>
      <w:tr w:rsidR="00DF7204" w14:paraId="7374D5D7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74B61B2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5. Оскарження одного окремого рішення</w:t>
            </w:r>
            <w:r>
              <w:rPr>
                <w:rFonts w:ascii="Times New Roman" w:hAnsi="Times New Roman" w:cs="Times New Roman"/>
                <w:szCs w:val="28"/>
              </w:rPr>
              <w:t xml:space="preserve"> суб’єктами господарювання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1EF8F46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5877AE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2F3FC70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2857AA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B7DBB7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012DF881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43C9B8E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6. Підготовка звітності за результатами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регулювання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287992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FCC877E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76C21F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B01CE77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F5A95B3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5E31A351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BA325BC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7. Інші адміністративні процедури (уточнити)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EB71F8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F7FFFC7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84301D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6369291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6A189D5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DF7204" w14:paraId="2B2B153E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1534CB1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Разом за рік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3B1FC36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25A29F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4DC8308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A9B9881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367B76" w14:textId="50DE439C" w:rsidR="00DF7204" w:rsidRDefault="00DF0CE3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2054,25</w:t>
            </w:r>
          </w:p>
        </w:tc>
      </w:tr>
      <w:tr w:rsidR="00DF7204" w14:paraId="3201E1A1" w14:textId="77777777"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EDAA7EB" w14:textId="77777777" w:rsidR="00DF7204" w:rsidRDefault="00D50866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Сумарно за п’ять років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68A549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999CDC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2239EBB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B8D3A9C" w14:textId="77777777" w:rsidR="00DF7204" w:rsidRDefault="00D50866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0E41E0" w14:textId="025044A0" w:rsidR="00DF7204" w:rsidRPr="00B81557" w:rsidRDefault="00DF0CE3">
            <w:pPr>
              <w:pStyle w:val="a6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10271,25</w:t>
            </w:r>
          </w:p>
        </w:tc>
      </w:tr>
    </w:tbl>
    <w:p w14:paraId="0D399A42" w14:textId="77777777" w:rsidR="00DF7204" w:rsidRDefault="00DF720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5DF955D" w14:textId="77777777" w:rsidR="00DF7204" w:rsidRDefault="00D5086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*Вартість витрат, пов’язаних з адмініструванням процесу регулювання державними органами, </w:t>
      </w:r>
      <w:r>
        <w:rPr>
          <w:rFonts w:ascii="Times New Roman" w:eastAsia="Times New Roman" w:hAnsi="Times New Roman" w:cs="Times New Roman"/>
          <w:color w:val="000000" w:themeColor="text1"/>
        </w:rPr>
        <w:t>визначається шляхом множення фактичних витрат часу персоналу на заробітну плату спеціаліста відповідної кваліфікації та на кількість суб’єктів, що підпадають під дію процедури регулювання, та на кількість процедур за рік.</w:t>
      </w:r>
    </w:p>
    <w:p w14:paraId="1D720441" w14:textId="77777777" w:rsidR="00DF7204" w:rsidRDefault="00DF720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A19E1A5" w14:textId="77777777" w:rsidR="00DF7204" w:rsidRDefault="00D50866">
      <w:pPr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Державне регулювання </w:t>
      </w:r>
      <w:r>
        <w:rPr>
          <w:rFonts w:ascii="Times New Roman" w:eastAsia="Times New Roman" w:hAnsi="Times New Roman" w:cs="Times New Roman"/>
          <w:lang w:val="ru-RU"/>
        </w:rPr>
        <w:t xml:space="preserve">не </w:t>
      </w:r>
      <w:r>
        <w:rPr>
          <w:rFonts w:ascii="Times New Roman" w:eastAsia="Times New Roman" w:hAnsi="Times New Roman" w:cs="Times New Roman"/>
        </w:rPr>
        <w:t>передбача</w:t>
      </w:r>
      <w:r>
        <w:rPr>
          <w:rFonts w:ascii="Times New Roman" w:eastAsia="Times New Roman" w:hAnsi="Times New Roman" w:cs="Times New Roman"/>
        </w:rPr>
        <w:t>є утворення нового державного органу (або нового структурного підрозділу діючого органу).</w:t>
      </w:r>
    </w:p>
    <w:p w14:paraId="0DF23AFB" w14:textId="77777777" w:rsidR="00DF7204" w:rsidRDefault="00DF720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0CD5FF7" w14:textId="77777777" w:rsidR="00DF7204" w:rsidRDefault="00D50866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4. Розрахунок сумарних витрат суб’єктів малого підприємництва, що виникають на виконання вимог регулювання.</w:t>
      </w:r>
    </w:p>
    <w:p w14:paraId="01E743BA" w14:textId="77777777" w:rsidR="00DF7204" w:rsidRDefault="00DF7204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5025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8083"/>
        <w:gridCol w:w="3261"/>
        <w:gridCol w:w="1981"/>
      </w:tblGrid>
      <w:tr w:rsidR="00DF7204" w14:paraId="1D5DF1A0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1DE481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Порядковий номер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D3E99B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Показник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B5A76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Перший рік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регулювання (стартовий)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E37720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 п’ять років</w:t>
            </w:r>
          </w:p>
        </w:tc>
      </w:tr>
      <w:tr w:rsidR="00DF7204" w14:paraId="097800C0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0B494A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075E45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B8545C" w14:textId="7F5A4272" w:rsidR="00DF7204" w:rsidRDefault="00B81557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14138456,86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89185A" w14:textId="1DE95659" w:rsidR="00DF7204" w:rsidRDefault="002B0882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70692284,30</w:t>
            </w:r>
          </w:p>
        </w:tc>
      </w:tr>
      <w:tr w:rsidR="00DF7204" w14:paraId="6CCBEF0D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C1873C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6DFF8F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Оцінка вартості адміністративних процедур для суб’єктів малого підприємництва щодо виконання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регулювання та звітування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F1E6F7" w14:textId="7E38230B" w:rsidR="00DF7204" w:rsidRDefault="002B0882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1191,63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367FA6" w14:textId="4E609C84" w:rsidR="00DF7204" w:rsidRDefault="002B0882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5958,15</w:t>
            </w:r>
          </w:p>
        </w:tc>
      </w:tr>
      <w:tr w:rsidR="00DF7204" w14:paraId="1B69A31A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9EA734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815BDE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E35A7" w14:textId="128DA8C3" w:rsidR="00DF7204" w:rsidRPr="002B0882" w:rsidRDefault="002B08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14139648,49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64D37FC" w14:textId="4A0A19D3" w:rsidR="00DF7204" w:rsidRDefault="002B08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70698242,45</w:t>
            </w:r>
          </w:p>
        </w:tc>
      </w:tr>
      <w:tr w:rsidR="00DF7204" w14:paraId="71701C6D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A2ED25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706FF9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845A87" w14:textId="2CB4D392" w:rsidR="00DF7204" w:rsidRDefault="00DF0C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2054,25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91DA4A" w14:textId="1AD07331" w:rsidR="00DF7204" w:rsidRDefault="00DF0C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10271,25</w:t>
            </w:r>
          </w:p>
        </w:tc>
      </w:tr>
      <w:tr w:rsidR="00DF7204" w14:paraId="01BB0C6F" w14:textId="77777777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FF6FBD" w14:textId="77777777" w:rsidR="00DF7204" w:rsidRDefault="00D508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6EA677" w14:textId="77777777" w:rsidR="00DF7204" w:rsidRDefault="00D508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Сумарні витрати на виконання запланованого регулювання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F4DFFF" w14:textId="700EA345" w:rsidR="00DF7204" w:rsidRDefault="00DF0C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14141702,74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421F64" w14:textId="57C984E1" w:rsidR="00DF7204" w:rsidRDefault="00DF0C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70708513,70</w:t>
            </w:r>
          </w:p>
        </w:tc>
      </w:tr>
    </w:tbl>
    <w:p w14:paraId="7FD8AE46" w14:textId="77777777" w:rsidR="00DF7204" w:rsidRDefault="00DF7204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2BD3A" w14:textId="77777777" w:rsidR="00DF7204" w:rsidRDefault="00D5086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Розроблення коригуючих (пом’якшувальних) заходів для малого підприємництва щодо запропонованого регулювання.</w:t>
      </w:r>
    </w:p>
    <w:p w14:paraId="1C4225FA" w14:textId="77777777" w:rsidR="00DF7204" w:rsidRDefault="00DF7204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0B79B5F" w14:textId="77777777" w:rsidR="00DF7204" w:rsidRDefault="00D5086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4" w:name="n219"/>
      <w:bookmarkEnd w:id="4"/>
      <w:r>
        <w:rPr>
          <w:rFonts w:ascii="Times New Roman" w:eastAsia="Times New Roman" w:hAnsi="Times New Roman" w:cs="Times New Roman"/>
          <w:color w:val="000000"/>
        </w:rPr>
        <w:t xml:space="preserve">На основі оцінки сумарних витрат малого </w:t>
      </w:r>
      <w:r>
        <w:rPr>
          <w:rFonts w:ascii="Times New Roman" w:eastAsia="Times New Roman" w:hAnsi="Times New Roman" w:cs="Times New Roman"/>
          <w:color w:val="000000"/>
        </w:rPr>
        <w:t>підприємництва на виконання запланованого регулювання (за перший рік регулювання та за п’ять років) з метою вирівнювання питомої вартості адміністративного навантаження між суб’єктами великого, середнього та малого підприємництва пропонуються такі компенса</w:t>
      </w:r>
      <w:r>
        <w:rPr>
          <w:rFonts w:ascii="Times New Roman" w:eastAsia="Times New Roman" w:hAnsi="Times New Roman" w:cs="Times New Roman"/>
          <w:color w:val="000000"/>
        </w:rPr>
        <w:t xml:space="preserve">торні механізми (опис та викладення уточнених норм регулювання, наприклад: зміна періодичності надання звітів для малого чи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мікропідприємництва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поріг за розміром суб’єкта чи його розміром річного обороту для виключення з-під регулювання, запровадження інш</w:t>
      </w:r>
      <w:r>
        <w:rPr>
          <w:rFonts w:ascii="Times New Roman" w:eastAsia="Times New Roman" w:hAnsi="Times New Roman" w:cs="Times New Roman"/>
          <w:color w:val="000000"/>
        </w:rPr>
        <w:t>их компенсаторів).</w:t>
      </w:r>
    </w:p>
    <w:p w14:paraId="0ED06428" w14:textId="77777777" w:rsidR="00DF7204" w:rsidRDefault="00DF720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B9F016F" w14:textId="77777777" w:rsidR="00DF7204" w:rsidRDefault="00DF720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E06F449" w14:textId="77777777" w:rsidR="00DF7204" w:rsidRDefault="00DF720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D6832F" w14:textId="77777777" w:rsidR="00DF7204" w:rsidRDefault="00D50866">
      <w:pPr>
        <w:ind w:left="709" w:right="1102"/>
      </w:pPr>
      <w:r>
        <w:rPr>
          <w:rFonts w:ascii="Times New Roman" w:eastAsia="Times New Roman" w:hAnsi="Times New Roman" w:cs="Times New Roman"/>
          <w:color w:val="000000" w:themeColor="text1"/>
        </w:rPr>
        <w:t>Начальник управління соціально-економічного розвитку міста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Юрій ЗАХАРЧУК</w:t>
      </w:r>
    </w:p>
    <w:p w14:paraId="6F73AD23" w14:textId="77777777" w:rsidR="00DF7204" w:rsidRDefault="00DF7204">
      <w:pPr>
        <w:ind w:left="709" w:right="1102"/>
        <w:rPr>
          <w:rFonts w:ascii="Times New Roman" w:eastAsia="Times New Roman" w:hAnsi="Times New Roman" w:cs="Times New Roman"/>
          <w:color w:val="000000" w:themeColor="text1"/>
        </w:rPr>
      </w:pPr>
    </w:p>
    <w:p w14:paraId="43C61CB6" w14:textId="6ABD5126" w:rsidR="00DF7204" w:rsidRDefault="009B05AA">
      <w:pPr>
        <w:ind w:left="709" w:right="110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Мелітопольський міський голова                                                                                                  Іван  ФЕДОРОВ</w:t>
      </w:r>
    </w:p>
    <w:sectPr w:rsidR="00DF7204">
      <w:pgSz w:w="16838" w:h="11906" w:orient="landscape"/>
      <w:pgMar w:top="1134" w:right="851" w:bottom="567" w:left="851" w:header="0" w:footer="0" w:gutter="0"/>
      <w:pgNumType w:start="1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F14"/>
    <w:multiLevelType w:val="multilevel"/>
    <w:tmpl w:val="A8A2DB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97596"/>
    <w:multiLevelType w:val="multilevel"/>
    <w:tmpl w:val="9C029F3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7C807A0"/>
    <w:multiLevelType w:val="multilevel"/>
    <w:tmpl w:val="846462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4"/>
    <w:rsid w:val="002256FE"/>
    <w:rsid w:val="002729D5"/>
    <w:rsid w:val="00282675"/>
    <w:rsid w:val="002B0882"/>
    <w:rsid w:val="00314ACB"/>
    <w:rsid w:val="00315264"/>
    <w:rsid w:val="00346AB6"/>
    <w:rsid w:val="003F1B71"/>
    <w:rsid w:val="0050599D"/>
    <w:rsid w:val="005A5F5D"/>
    <w:rsid w:val="0064053B"/>
    <w:rsid w:val="006D54FB"/>
    <w:rsid w:val="006F6FB5"/>
    <w:rsid w:val="00764603"/>
    <w:rsid w:val="008A6F4E"/>
    <w:rsid w:val="008C3A09"/>
    <w:rsid w:val="00903225"/>
    <w:rsid w:val="00962C8E"/>
    <w:rsid w:val="009A0F98"/>
    <w:rsid w:val="009B05AA"/>
    <w:rsid w:val="00A76D38"/>
    <w:rsid w:val="00B81557"/>
    <w:rsid w:val="00C50EDD"/>
    <w:rsid w:val="00CB2386"/>
    <w:rsid w:val="00D50866"/>
    <w:rsid w:val="00D712DA"/>
    <w:rsid w:val="00D95A4F"/>
    <w:rsid w:val="00DF0CE3"/>
    <w:rsid w:val="00DF7204"/>
    <w:rsid w:val="00E005B8"/>
    <w:rsid w:val="00EA7583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C20E"/>
  <w15:docId w15:val="{75EE3CAC-F37A-4CF4-897F-1F0D9DE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8"/>
    </w:rPr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8">
    <w:name w:val="t28"/>
    <w:basedOn w:val="a0"/>
    <w:qFormat/>
    <w:rsid w:val="00474293"/>
  </w:style>
  <w:style w:type="character" w:customStyle="1" w:styleId="a3">
    <w:name w:val="Основной текст Знак"/>
    <w:basedOn w:val="a0"/>
    <w:qFormat/>
    <w:rsid w:val="0029469F"/>
    <w:rPr>
      <w:rFonts w:eastAsia="Droid Sans Fallback" w:cs="FreeSans"/>
      <w:szCs w:val="24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rsid w:val="00D662C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position w:val="0"/>
      <w:sz w:val="28"/>
      <w:vertAlign w:val="baseline"/>
    </w:rPr>
  </w:style>
  <w:style w:type="character" w:customStyle="1" w:styleId="ListLabel2">
    <w:name w:val="ListLabel 2"/>
    <w:qFormat/>
    <w:rPr>
      <w:rFonts w:ascii="Times New Roman" w:hAnsi="Times New Roman"/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rFonts w:eastAsia="Times New Roman" w:cs="Times New Roman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OpenSymbol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cs="OpenSymbol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OpenSymbol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6">
    <w:name w:val="Body Text"/>
    <w:basedOn w:val="a"/>
    <w:rsid w:val="0029469F"/>
    <w:pPr>
      <w:suppressAutoHyphens/>
      <w:spacing w:after="140" w:line="288" w:lineRule="auto"/>
    </w:pPr>
    <w:rPr>
      <w:rFonts w:eastAsia="Droid Sans Fallback" w:cs="FreeSans"/>
      <w:szCs w:val="24"/>
      <w:lang w:eastAsia="zh-CN" w:bidi="hi-I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FreeSans"/>
    </w:rPr>
  </w:style>
  <w:style w:type="paragraph" w:styleId="aa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CC77EA"/>
    <w:pPr>
      <w:ind w:left="720"/>
      <w:contextualSpacing/>
    </w:pPr>
  </w:style>
  <w:style w:type="paragraph" w:customStyle="1" w:styleId="StyleZakonu">
    <w:name w:val="StyleZakonu"/>
    <w:basedOn w:val="a"/>
    <w:qFormat/>
    <w:rsid w:val="00DC3ED7"/>
    <w:pPr>
      <w:suppressAutoHyphens/>
      <w:spacing w:after="60" w:line="220" w:lineRule="exact"/>
      <w:ind w:firstLine="284"/>
      <w:jc w:val="both"/>
    </w:pPr>
    <w:rPr>
      <w:rFonts w:eastAsia="Arial Unicode MS" w:cs="Mangal"/>
      <w:sz w:val="20"/>
      <w:szCs w:val="20"/>
      <w:lang w:val="ru-RU" w:eastAsia="zh-CN" w:bidi="hi-IN"/>
    </w:rPr>
  </w:style>
  <w:style w:type="paragraph" w:customStyle="1" w:styleId="c5">
    <w:name w:val="c5"/>
    <w:basedOn w:val="a"/>
    <w:qFormat/>
    <w:rsid w:val="00DC3ED7"/>
    <w:pPr>
      <w:suppressAutoHyphens/>
      <w:spacing w:before="280" w:after="280"/>
    </w:pPr>
    <w:rPr>
      <w:rFonts w:eastAsia="Arial Unicode MS" w:cs="Mangal"/>
      <w:sz w:val="24"/>
      <w:szCs w:val="24"/>
      <w:lang w:val="ru-RU" w:eastAsia="zh-CN" w:bidi="hi-IN"/>
    </w:rPr>
  </w:style>
  <w:style w:type="paragraph" w:styleId="ad">
    <w:name w:val="Normal (Web)"/>
    <w:basedOn w:val="a"/>
    <w:qFormat/>
    <w:rsid w:val="0029469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e">
    <w:name w:val="Содержимое таблицы"/>
    <w:basedOn w:val="a"/>
    <w:qFormat/>
    <w:rsid w:val="00EB5BD3"/>
    <w:pPr>
      <w:suppressLineNumbers/>
      <w:suppressAutoHyphens/>
    </w:pPr>
    <w:rPr>
      <w:rFonts w:eastAsia="Droid Sans Fallback" w:cs="FreeSans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D662C5"/>
    <w:rPr>
      <w:rFonts w:ascii="Segoe UI" w:hAnsi="Segoe UI" w:cs="Segoe UI"/>
      <w:sz w:val="18"/>
      <w:szCs w:val="18"/>
    </w:rPr>
  </w:style>
  <w:style w:type="paragraph" w:customStyle="1" w:styleId="af0">
    <w:name w:val="Знак Знак Знак Знак"/>
    <w:basedOn w:val="a"/>
    <w:qFormat/>
    <w:rsid w:val="005910C7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Основной текст с отступом Знак Знак"/>
    <w:basedOn w:val="a"/>
    <w:qFormat/>
    <w:rsid w:val="004D023C"/>
    <w:rPr>
      <w:rFonts w:ascii="Peterburg" w:eastAsia="Times New Roman" w:hAnsi="Peterburg" w:cs="Peterburg"/>
      <w:sz w:val="20"/>
      <w:szCs w:val="20"/>
      <w:lang w:val="en-US" w:eastAsia="en-US"/>
    </w:rPr>
  </w:style>
  <w:style w:type="paragraph" w:customStyle="1" w:styleId="af2">
    <w:name w:val="Заголовок таблицы"/>
    <w:basedOn w:val="a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53F9-FC01-4F56-8CA5-3C9BF515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19601</Words>
  <Characters>11174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2021-09-24T13:11:00Z</cp:lastPrinted>
  <dcterms:created xsi:type="dcterms:W3CDTF">2021-09-24T13:20:00Z</dcterms:created>
  <dcterms:modified xsi:type="dcterms:W3CDTF">2021-09-24T13:20:00Z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